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4" w:type="dxa"/>
        <w:tblInd w:w="-176" w:type="dxa"/>
        <w:tblLayout w:type="fixed"/>
        <w:tblCellMar>
          <w:left w:w="0" w:type="dxa"/>
          <w:right w:w="0" w:type="dxa"/>
        </w:tblCellMar>
        <w:tblLook w:val="04A0"/>
      </w:tblPr>
      <w:tblGrid>
        <w:gridCol w:w="3970"/>
        <w:gridCol w:w="5914"/>
      </w:tblGrid>
      <w:tr w:rsidR="003B0168" w:rsidTr="00FA637B">
        <w:trPr>
          <w:trHeight w:val="827"/>
        </w:trPr>
        <w:tc>
          <w:tcPr>
            <w:tcW w:w="3970" w:type="dxa"/>
            <w:tcMar>
              <w:top w:w="0" w:type="dxa"/>
              <w:left w:w="108" w:type="dxa"/>
              <w:bottom w:w="0" w:type="dxa"/>
              <w:right w:w="108" w:type="dxa"/>
            </w:tcMar>
            <w:hideMark/>
          </w:tcPr>
          <w:p w:rsidR="003B0168" w:rsidRPr="00FA637B" w:rsidRDefault="006153D5" w:rsidP="00803CFE">
            <w:pPr>
              <w:tabs>
                <w:tab w:val="left" w:pos="1985"/>
              </w:tabs>
              <w:spacing w:before="60" w:after="60" w:line="240" w:lineRule="auto"/>
              <w:rPr>
                <w:rFonts w:ascii="Times New Roman Bold" w:hAnsi="Times New Roman Bold"/>
                <w:b/>
                <w:bCs/>
                <w:spacing w:val="-6"/>
                <w:szCs w:val="24"/>
              </w:rPr>
            </w:pPr>
            <w:r w:rsidRPr="006153D5">
              <w:rPr>
                <w:rFonts w:eastAsia="Times New Roman" w:cs="Times New Roman"/>
                <w:szCs w:val="24"/>
              </w:rPr>
              <w:pict>
                <v:line id="_x0000_s1027" style="position:absolute;z-index:251657216" from="48.25pt,20.3pt" to="146.5pt,20.3pt"/>
              </w:pict>
            </w:r>
            <w:r w:rsidR="00C44459">
              <w:rPr>
                <w:b/>
                <w:bCs/>
              </w:rPr>
              <w:t xml:space="preserve">     </w:t>
            </w:r>
            <w:r w:rsidR="00FA637B" w:rsidRPr="00FA637B">
              <w:rPr>
                <w:rFonts w:ascii="Times New Roman Bold" w:hAnsi="Times New Roman Bold"/>
                <w:b/>
                <w:bCs/>
                <w:spacing w:val="-6"/>
                <w:sz w:val="26"/>
              </w:rPr>
              <w:t>BỘ GIÁO DỤC VÀ ĐÀO TẠO</w:t>
            </w:r>
            <w:r w:rsidR="00517277" w:rsidRPr="00FA637B">
              <w:rPr>
                <w:rFonts w:ascii="Times New Roman Bold" w:hAnsi="Times New Roman Bold"/>
                <w:b/>
                <w:bCs/>
                <w:spacing w:val="-6"/>
              </w:rPr>
              <w:br/>
            </w:r>
          </w:p>
        </w:tc>
        <w:tc>
          <w:tcPr>
            <w:tcW w:w="5914" w:type="dxa"/>
            <w:tcMar>
              <w:top w:w="0" w:type="dxa"/>
              <w:left w:w="108" w:type="dxa"/>
              <w:bottom w:w="0" w:type="dxa"/>
              <w:right w:w="108" w:type="dxa"/>
            </w:tcMar>
            <w:hideMark/>
          </w:tcPr>
          <w:p w:rsidR="003B0168" w:rsidRDefault="006153D5" w:rsidP="00803CFE">
            <w:pPr>
              <w:spacing w:before="60" w:after="60" w:line="240" w:lineRule="auto"/>
              <w:jc w:val="center"/>
              <w:rPr>
                <w:szCs w:val="24"/>
              </w:rPr>
            </w:pPr>
            <w:r w:rsidRPr="006153D5">
              <w:rPr>
                <w:rFonts w:eastAsia="Times New Roman" w:cs="Times New Roman"/>
                <w:spacing w:val="-4"/>
                <w:szCs w:val="24"/>
              </w:rPr>
              <w:pict>
                <v:line id="_x0000_s1026" style="position:absolute;left:0;text-align:left;z-index:251658240;mso-position-horizontal-relative:text;mso-position-vertical-relative:text" from="69.5pt,35.6pt" to="216.5pt,35.6pt"/>
              </w:pict>
            </w:r>
            <w:r w:rsidR="003B0168" w:rsidRPr="00FA637B">
              <w:rPr>
                <w:b/>
                <w:bCs/>
                <w:spacing w:val="-4"/>
                <w:sz w:val="26"/>
              </w:rPr>
              <w:t xml:space="preserve">CỘNG HÒA XÃ HỘI CHỦ NGHĨA VIỆT </w:t>
            </w:r>
            <w:smartTag w:uri="urn:schemas-microsoft-com:office:smarttags" w:element="place">
              <w:smartTag w:uri="urn:schemas-microsoft-com:office:smarttags" w:element="country-region">
                <w:r w:rsidR="003B0168" w:rsidRPr="00FA637B">
                  <w:rPr>
                    <w:b/>
                    <w:bCs/>
                    <w:spacing w:val="-4"/>
                    <w:sz w:val="26"/>
                  </w:rPr>
                  <w:t>NAM</w:t>
                </w:r>
              </w:smartTag>
            </w:smartTag>
            <w:r w:rsidR="003B0168" w:rsidRPr="00F763DB">
              <w:rPr>
                <w:b/>
                <w:bCs/>
                <w:spacing w:val="-4"/>
                <w:sz w:val="26"/>
              </w:rPr>
              <w:br/>
            </w:r>
            <w:r w:rsidR="003B0168" w:rsidRPr="00FA637B">
              <w:rPr>
                <w:b/>
                <w:bCs/>
                <w:sz w:val="26"/>
              </w:rPr>
              <w:t>Độc lập - Tự do - Hạnh phúc</w:t>
            </w:r>
            <w:r w:rsidR="003B0168" w:rsidRPr="00FA637B">
              <w:rPr>
                <w:b/>
                <w:bCs/>
                <w:sz w:val="26"/>
              </w:rPr>
              <w:br/>
            </w:r>
          </w:p>
        </w:tc>
      </w:tr>
      <w:tr w:rsidR="003B0168" w:rsidTr="00FA637B">
        <w:trPr>
          <w:trHeight w:val="170"/>
        </w:trPr>
        <w:tc>
          <w:tcPr>
            <w:tcW w:w="3970" w:type="dxa"/>
            <w:tcMar>
              <w:top w:w="0" w:type="dxa"/>
              <w:left w:w="108" w:type="dxa"/>
              <w:bottom w:w="0" w:type="dxa"/>
              <w:right w:w="108" w:type="dxa"/>
            </w:tcMar>
            <w:hideMark/>
          </w:tcPr>
          <w:p w:rsidR="003B0168" w:rsidRDefault="003B0168" w:rsidP="00803CFE">
            <w:pPr>
              <w:spacing w:before="60" w:after="60" w:line="240" w:lineRule="auto"/>
              <w:jc w:val="center"/>
              <w:rPr>
                <w:szCs w:val="24"/>
              </w:rPr>
            </w:pPr>
          </w:p>
        </w:tc>
        <w:tc>
          <w:tcPr>
            <w:tcW w:w="5914" w:type="dxa"/>
            <w:tcMar>
              <w:top w:w="0" w:type="dxa"/>
              <w:left w:w="108" w:type="dxa"/>
              <w:bottom w:w="0" w:type="dxa"/>
              <w:right w:w="108" w:type="dxa"/>
            </w:tcMar>
            <w:hideMark/>
          </w:tcPr>
          <w:p w:rsidR="003B0168" w:rsidRDefault="003B0168" w:rsidP="00803CFE">
            <w:pPr>
              <w:spacing w:before="60" w:after="60" w:line="240" w:lineRule="auto"/>
              <w:jc w:val="center"/>
              <w:rPr>
                <w:szCs w:val="24"/>
              </w:rPr>
            </w:pPr>
            <w:r>
              <w:rPr>
                <w:i/>
                <w:iCs/>
              </w:rPr>
              <w:t>Hà Nội, ngày        tháng</w:t>
            </w:r>
            <w:r w:rsidR="00FB7E96">
              <w:rPr>
                <w:i/>
                <w:iCs/>
              </w:rPr>
              <w:t xml:space="preserve"> 11</w:t>
            </w:r>
            <w:r w:rsidR="00803CFE">
              <w:rPr>
                <w:i/>
                <w:iCs/>
              </w:rPr>
              <w:t xml:space="preserve"> </w:t>
            </w:r>
            <w:r>
              <w:rPr>
                <w:i/>
                <w:iCs/>
              </w:rPr>
              <w:t>năm 2018</w:t>
            </w:r>
          </w:p>
        </w:tc>
      </w:tr>
    </w:tbl>
    <w:p w:rsidR="00E87B19" w:rsidRDefault="00BB6AC4" w:rsidP="00803CFE">
      <w:pPr>
        <w:spacing w:before="60" w:after="60" w:line="240" w:lineRule="auto"/>
        <w:jc w:val="center"/>
        <w:rPr>
          <w:b/>
          <w:szCs w:val="28"/>
        </w:rPr>
      </w:pPr>
      <w:r>
        <w:rPr>
          <w:b/>
          <w:szCs w:val="28"/>
        </w:rPr>
        <w:t>BÁO CÁO</w:t>
      </w:r>
    </w:p>
    <w:p w:rsidR="003B0168" w:rsidRDefault="00BB6AC4" w:rsidP="00803CFE">
      <w:pPr>
        <w:spacing w:before="60" w:after="60" w:line="240" w:lineRule="auto"/>
        <w:jc w:val="center"/>
        <w:rPr>
          <w:b/>
          <w:szCs w:val="28"/>
        </w:rPr>
      </w:pPr>
      <w:r>
        <w:rPr>
          <w:b/>
          <w:szCs w:val="28"/>
        </w:rPr>
        <w:t>Giải trình</w:t>
      </w:r>
      <w:r w:rsidR="00695ACB">
        <w:rPr>
          <w:b/>
          <w:szCs w:val="28"/>
        </w:rPr>
        <w:t>,</w:t>
      </w:r>
      <w:r>
        <w:rPr>
          <w:b/>
          <w:szCs w:val="28"/>
        </w:rPr>
        <w:t xml:space="preserve"> tiếp thu ý kiến của các cơ quan, tổ chức, cá nhân về dự thảo Nghị định </w:t>
      </w:r>
      <w:r w:rsidR="003B0168">
        <w:rPr>
          <w:b/>
          <w:szCs w:val="28"/>
        </w:rPr>
        <w:t>Quy định chế độ khen thưởng đối với học sinh</w:t>
      </w:r>
      <w:r w:rsidR="006D158F">
        <w:rPr>
          <w:b/>
          <w:szCs w:val="28"/>
        </w:rPr>
        <w:t>, sinh viên</w:t>
      </w:r>
      <w:r w:rsidR="009B6E2B">
        <w:rPr>
          <w:b/>
          <w:szCs w:val="28"/>
        </w:rPr>
        <w:t xml:space="preserve"> đoạt giải trong </w:t>
      </w:r>
      <w:r w:rsidR="00B76B45">
        <w:rPr>
          <w:b/>
          <w:szCs w:val="28"/>
        </w:rPr>
        <w:t xml:space="preserve">các </w:t>
      </w:r>
      <w:r w:rsidR="009B6E2B">
        <w:rPr>
          <w:b/>
          <w:szCs w:val="28"/>
        </w:rPr>
        <w:t>kỳ thi quố</w:t>
      </w:r>
      <w:r w:rsidR="00F526EA">
        <w:rPr>
          <w:b/>
          <w:szCs w:val="28"/>
        </w:rPr>
        <w:t>c gia</w:t>
      </w:r>
      <w:r w:rsidR="00E87B19">
        <w:rPr>
          <w:b/>
          <w:szCs w:val="28"/>
        </w:rPr>
        <w:t xml:space="preserve">, </w:t>
      </w:r>
      <w:r w:rsidR="00310F28">
        <w:rPr>
          <w:b/>
          <w:szCs w:val="28"/>
        </w:rPr>
        <w:t>quốc tế</w:t>
      </w:r>
    </w:p>
    <w:p w:rsidR="005231BD" w:rsidRDefault="00BB6AC4" w:rsidP="00803CFE">
      <w:pPr>
        <w:spacing w:before="60" w:after="60" w:line="240" w:lineRule="auto"/>
        <w:jc w:val="center"/>
        <w:rPr>
          <w:i/>
          <w:szCs w:val="28"/>
        </w:rPr>
      </w:pPr>
      <w:r w:rsidRPr="00BB6AC4">
        <w:rPr>
          <w:i/>
          <w:szCs w:val="28"/>
        </w:rPr>
        <w:t xml:space="preserve">(Kèm theo Tờ trình số             /TTr-BGDĐT ngày    </w:t>
      </w:r>
      <w:r w:rsidR="00477C05">
        <w:rPr>
          <w:i/>
          <w:szCs w:val="28"/>
        </w:rPr>
        <w:t xml:space="preserve">  </w:t>
      </w:r>
      <w:r w:rsidRPr="00BB6AC4">
        <w:rPr>
          <w:i/>
          <w:szCs w:val="28"/>
        </w:rPr>
        <w:t xml:space="preserve">  tháng12 năm 2018 </w:t>
      </w:r>
    </w:p>
    <w:p w:rsidR="00BB6AC4" w:rsidRPr="00BB6AC4" w:rsidRDefault="00BB6AC4" w:rsidP="00803CFE">
      <w:pPr>
        <w:spacing w:before="60" w:after="60" w:line="240" w:lineRule="auto"/>
        <w:jc w:val="center"/>
        <w:rPr>
          <w:i/>
          <w:szCs w:val="28"/>
        </w:rPr>
      </w:pPr>
      <w:r w:rsidRPr="00BB6AC4">
        <w:rPr>
          <w:i/>
          <w:szCs w:val="28"/>
        </w:rPr>
        <w:t>của Bộ Giáo dục và Đào tạo</w:t>
      </w:r>
    </w:p>
    <w:p w:rsidR="003B0168" w:rsidRDefault="006153D5" w:rsidP="00803CFE">
      <w:pPr>
        <w:spacing w:before="60" w:after="60" w:line="240" w:lineRule="auto"/>
        <w:jc w:val="center"/>
        <w:rPr>
          <w:szCs w:val="28"/>
        </w:rPr>
      </w:pPr>
      <w:r>
        <w:rPr>
          <w:noProof/>
          <w:szCs w:val="28"/>
        </w:rPr>
        <w:pict>
          <v:line id="_x0000_s1028" style="position:absolute;left:0;text-align:left;z-index:251659264" from="198.25pt,-.45pt" to="257.8pt,-.45pt"/>
        </w:pict>
      </w:r>
    </w:p>
    <w:p w:rsidR="00BB6AC4" w:rsidRDefault="00BB6AC4" w:rsidP="00803CFE">
      <w:pPr>
        <w:spacing w:before="60" w:after="60" w:line="340" w:lineRule="exact"/>
        <w:ind w:firstLine="720"/>
        <w:jc w:val="both"/>
        <w:rPr>
          <w:szCs w:val="28"/>
        </w:rPr>
      </w:pPr>
      <w:r>
        <w:rPr>
          <w:szCs w:val="28"/>
        </w:rPr>
        <w:t xml:space="preserve">Căn cứ Luật Ban hành văn bản quy phạm pháp luật số 80/2015/QH13 ngày 22 tháng 6 năm 2015 và Nghị định số 34/2016/NĐ-CP ngày 14 tháng 5 năm 2016 của Chính phủ quy định chi tiết một số điều và biện pháp thi hành Luật ban hành văn bản quy phạm pháp luật; thực hiện chương trình công tác xây dựng văn bản quy phạm pháp luật năm 2018 của Chính phủ, Bộ Giáo dục và Đào tạo đã chủ trì, phối hợp với các bộ, ngành liên quan xây dựng dự thảo Nghị định </w:t>
      </w:r>
      <w:r w:rsidRPr="00BB6AC4">
        <w:rPr>
          <w:szCs w:val="28"/>
        </w:rPr>
        <w:t>Quy định chế độ khen thưởng đối với học sinh, sinh viên</w:t>
      </w:r>
      <w:r w:rsidR="00F02711">
        <w:rPr>
          <w:szCs w:val="28"/>
        </w:rPr>
        <w:t xml:space="preserve"> </w:t>
      </w:r>
      <w:r w:rsidRPr="00BB6AC4">
        <w:rPr>
          <w:szCs w:val="28"/>
        </w:rPr>
        <w:t>đoạt giải trong các kỳ thi quốc gia, quốc tế</w:t>
      </w:r>
      <w:r>
        <w:rPr>
          <w:szCs w:val="28"/>
        </w:rPr>
        <w:t xml:space="preserve"> theo trình tự thủ tục rút gọn</w:t>
      </w:r>
      <w:r w:rsidR="00477C05">
        <w:rPr>
          <w:szCs w:val="28"/>
        </w:rPr>
        <w:t>.</w:t>
      </w:r>
    </w:p>
    <w:p w:rsidR="00477C05" w:rsidRDefault="00477C05" w:rsidP="00803CFE">
      <w:pPr>
        <w:spacing w:before="60" w:after="60" w:line="340" w:lineRule="exact"/>
        <w:ind w:firstLine="720"/>
        <w:jc w:val="both"/>
        <w:rPr>
          <w:szCs w:val="28"/>
        </w:rPr>
      </w:pPr>
      <w:r>
        <w:rPr>
          <w:szCs w:val="28"/>
        </w:rPr>
        <w:t xml:space="preserve">Sau khi hoàn thành dự thảo ngày 03 tháng 10 năm 2018, Bộ Giáo dục và Đào tạo đã có Công văn số 4553/BGDĐT-TĐKT gửi Cổng Thông tin điện tử Chính phủ, Công văn số 4552/BGDĐT-TĐKT gửi Báo Giáo dục và Thời đại đăng tải dự thảo Tờ trình và </w:t>
      </w:r>
      <w:r w:rsidR="001535E9">
        <w:rPr>
          <w:szCs w:val="28"/>
        </w:rPr>
        <w:t xml:space="preserve">dự thảo </w:t>
      </w:r>
      <w:r>
        <w:rPr>
          <w:szCs w:val="28"/>
        </w:rPr>
        <w:t>Nghị định để lấy ý kiến góp ý của các cơ quan, tổ chứ</w:t>
      </w:r>
      <w:r w:rsidR="00107D91">
        <w:rPr>
          <w:szCs w:val="28"/>
        </w:rPr>
        <w:t>c, cá nhân. Sau 20 ngày đăng tải dự thảo, không có cơ quan, tổ chức, cá nhân nào có ý kiến góp ý trên Cổng Thông tin điện tử Chính phủ và Báo Giáo dục và Thời đại</w:t>
      </w:r>
      <w:r>
        <w:rPr>
          <w:szCs w:val="28"/>
        </w:rPr>
        <w:t xml:space="preserve">; </w:t>
      </w:r>
      <w:r w:rsidR="005231BD">
        <w:rPr>
          <w:szCs w:val="28"/>
        </w:rPr>
        <w:t xml:space="preserve">Bộ cũng có </w:t>
      </w:r>
      <w:r>
        <w:rPr>
          <w:szCs w:val="28"/>
        </w:rPr>
        <w:t>Công văn số 4554/BGDĐT-TĐKT</w:t>
      </w:r>
      <w:r w:rsidR="0059565D">
        <w:rPr>
          <w:szCs w:val="28"/>
        </w:rPr>
        <w:t>ngày 03/10/2018</w:t>
      </w:r>
      <w:r>
        <w:rPr>
          <w:szCs w:val="28"/>
        </w:rPr>
        <w:t xml:space="preserve"> xin ý kiế</w:t>
      </w:r>
      <w:r w:rsidR="00940921">
        <w:rPr>
          <w:szCs w:val="28"/>
        </w:rPr>
        <w:t>n các bộ, ngành</w:t>
      </w:r>
      <w:r>
        <w:rPr>
          <w:szCs w:val="28"/>
        </w:rPr>
        <w:t xml:space="preserve"> có liên quan (Bộ Tư pháp, Bộ Nội vụ, Bộ Lao động - Thương binh và Xã hội, Bộ Tài chính).</w:t>
      </w:r>
      <w:r w:rsidR="00107D91">
        <w:rPr>
          <w:szCs w:val="28"/>
        </w:rPr>
        <w:t xml:space="preserve"> </w:t>
      </w:r>
    </w:p>
    <w:p w:rsidR="00477C05" w:rsidRDefault="00477C05" w:rsidP="00803CFE">
      <w:pPr>
        <w:spacing w:before="60" w:after="60" w:line="340" w:lineRule="exact"/>
        <w:ind w:firstLine="720"/>
        <w:jc w:val="both"/>
        <w:rPr>
          <w:szCs w:val="28"/>
        </w:rPr>
      </w:pPr>
      <w:r>
        <w:rPr>
          <w:szCs w:val="28"/>
        </w:rPr>
        <w:t>Đế</w:t>
      </w:r>
      <w:r w:rsidR="00940921">
        <w:rPr>
          <w:szCs w:val="28"/>
        </w:rPr>
        <w:t>n ngày 23/11</w:t>
      </w:r>
      <w:r>
        <w:rPr>
          <w:szCs w:val="28"/>
        </w:rPr>
        <w:t xml:space="preserve">/2018 Bộ Giáo dục và Đào tạo đã nhận được </w:t>
      </w:r>
      <w:r w:rsidR="008F1CDE">
        <w:rPr>
          <w:szCs w:val="28"/>
        </w:rPr>
        <w:t>ý kiến góp ý của một số bộ, ngành, địa phương. Bộ Giáo dục và Đào tạo giải trình, tiếp thu ý kiến của các tổ chức, cá nhân cụ thể:</w:t>
      </w:r>
    </w:p>
    <w:p w:rsidR="00107D91" w:rsidRDefault="00B67DFE" w:rsidP="00803CFE">
      <w:pPr>
        <w:spacing w:before="60" w:after="60" w:line="340" w:lineRule="exact"/>
        <w:ind w:firstLine="720"/>
        <w:jc w:val="both"/>
        <w:rPr>
          <w:szCs w:val="28"/>
        </w:rPr>
      </w:pPr>
      <w:r>
        <w:rPr>
          <w:szCs w:val="28"/>
        </w:rPr>
        <w:t>I</w:t>
      </w:r>
      <w:r w:rsidR="00107D91">
        <w:rPr>
          <w:szCs w:val="28"/>
        </w:rPr>
        <w:t>. Các Sở Giáo dục và Đào tạo tỉnh Hậu Giang, Hà Tĩnh, Lai Châu, Hà Giang, Gia Lai,Bạc Liêu nhất trí với nội dung dự thảo.</w:t>
      </w:r>
    </w:p>
    <w:p w:rsidR="00B67DFE" w:rsidRDefault="00B67DFE" w:rsidP="00803CFE">
      <w:pPr>
        <w:spacing w:before="60" w:after="60" w:line="240" w:lineRule="auto"/>
        <w:ind w:firstLine="720"/>
        <w:jc w:val="both"/>
        <w:rPr>
          <w:szCs w:val="28"/>
        </w:rPr>
      </w:pPr>
      <w:r>
        <w:rPr>
          <w:szCs w:val="28"/>
        </w:rPr>
        <w:t>II. Các bộ, ngành, địa phương có ý kiến nhất trí về sự cần thiết phải ban hành Nghị định và còn một số ý kiến góp ý như sau:</w:t>
      </w:r>
    </w:p>
    <w:p w:rsidR="008F1CDE" w:rsidRDefault="00B67DFE" w:rsidP="00803CFE">
      <w:pPr>
        <w:spacing w:before="60" w:after="60" w:line="240" w:lineRule="auto"/>
        <w:ind w:firstLine="720"/>
        <w:jc w:val="both"/>
        <w:rPr>
          <w:szCs w:val="28"/>
        </w:rPr>
      </w:pPr>
      <w:r>
        <w:rPr>
          <w:szCs w:val="28"/>
        </w:rPr>
        <w:t>1</w:t>
      </w:r>
      <w:r w:rsidR="008F1CDE">
        <w:rPr>
          <w:szCs w:val="28"/>
        </w:rPr>
        <w:t>. Về cơ sở pháp lý</w:t>
      </w:r>
    </w:p>
    <w:p w:rsidR="008F1CDE" w:rsidRDefault="008F1CDE" w:rsidP="00803CFE">
      <w:pPr>
        <w:spacing w:before="60" w:after="60" w:line="340" w:lineRule="exact"/>
        <w:ind w:firstLine="720"/>
        <w:jc w:val="both"/>
        <w:rPr>
          <w:szCs w:val="28"/>
        </w:rPr>
      </w:pPr>
      <w:r>
        <w:rPr>
          <w:szCs w:val="28"/>
        </w:rPr>
        <w:t xml:space="preserve">Bộ Tư pháp có ý kiến: Theo Nghị định số 34/2016/NĐ-CP ngày 14/5/2016 của Chính phủ quy định chi tiết một số điều và biện pháp thi hành Luật Ban hành văn bản quy phạm pháp luật thì căn cứ pháp lý để quy định nội dung văn bản phải là văn bản quy phạm pháp luật có hiệu lực pháp lý cao hơn </w:t>
      </w:r>
      <w:r>
        <w:rPr>
          <w:szCs w:val="28"/>
        </w:rPr>
        <w:lastRenderedPageBreak/>
        <w:t>do đó Nghị quyết số 105/NQ-CP ngày 14/8/2018 của Chính phủ về việc xây dựng Nghị định quy định chế độ khen thưởng</w:t>
      </w:r>
      <w:r w:rsidRPr="00A53B5C">
        <w:rPr>
          <w:szCs w:val="28"/>
        </w:rPr>
        <w:t xml:space="preserve"> đoạt giải trong các kỳ thi quốc gia, quốc tế</w:t>
      </w:r>
      <w:r>
        <w:rPr>
          <w:szCs w:val="28"/>
        </w:rPr>
        <w:t xml:space="preserve"> không phải là văn bản quy phạm pháp luật, do đó đề nghị không quy định nội dung đã nêu.</w:t>
      </w:r>
    </w:p>
    <w:p w:rsidR="008F1CDE" w:rsidRDefault="008F1CDE" w:rsidP="00803CFE">
      <w:pPr>
        <w:spacing w:before="60" w:after="60" w:line="240" w:lineRule="auto"/>
        <w:ind w:firstLine="720"/>
        <w:jc w:val="both"/>
        <w:rPr>
          <w:szCs w:val="28"/>
        </w:rPr>
      </w:pPr>
      <w:r>
        <w:rPr>
          <w:szCs w:val="28"/>
        </w:rPr>
        <w:t xml:space="preserve">Bộ Giáo dục và Đào tạo tiếp thu </w:t>
      </w:r>
      <w:r w:rsidR="00EF337B">
        <w:rPr>
          <w:szCs w:val="28"/>
        </w:rPr>
        <w:t>không đưa nội dung Nghị quyết của Chính phủ phần căn cứ</w:t>
      </w:r>
      <w:r w:rsidR="00042533">
        <w:rPr>
          <w:szCs w:val="28"/>
        </w:rPr>
        <w:t xml:space="preserve"> </w:t>
      </w:r>
      <w:r w:rsidR="001535E9">
        <w:rPr>
          <w:szCs w:val="28"/>
        </w:rPr>
        <w:t>dự thảo.</w:t>
      </w:r>
    </w:p>
    <w:p w:rsidR="003B0168" w:rsidRDefault="005453C6" w:rsidP="00803CFE">
      <w:pPr>
        <w:spacing w:before="60" w:after="60" w:line="240" w:lineRule="auto"/>
        <w:ind w:firstLine="720"/>
        <w:jc w:val="both"/>
        <w:rPr>
          <w:szCs w:val="28"/>
        </w:rPr>
      </w:pPr>
      <w:r>
        <w:rPr>
          <w:szCs w:val="28"/>
        </w:rPr>
        <w:t>2</w:t>
      </w:r>
      <w:r w:rsidR="008F1CDE">
        <w:rPr>
          <w:szCs w:val="28"/>
        </w:rPr>
        <w:t>. Về cách thức quy định</w:t>
      </w:r>
    </w:p>
    <w:p w:rsidR="008F1CDE" w:rsidRDefault="008F1CDE" w:rsidP="00803CFE">
      <w:pPr>
        <w:spacing w:before="60" w:after="60" w:line="340" w:lineRule="exact"/>
        <w:ind w:firstLine="720"/>
        <w:jc w:val="both"/>
        <w:rPr>
          <w:szCs w:val="28"/>
        </w:rPr>
      </w:pPr>
      <w:r>
        <w:rPr>
          <w:szCs w:val="28"/>
        </w:rPr>
        <w:t>Bộ Tư pháp có ý kiến: Do tên gọi và phạm vi điều chỉnh tập trung quy định về chế độ khen thưởng đối với học sinh</w:t>
      </w:r>
      <w:r w:rsidR="00984F53">
        <w:rPr>
          <w:szCs w:val="28"/>
        </w:rPr>
        <w:t>,</w:t>
      </w:r>
      <w:r>
        <w:rPr>
          <w:szCs w:val="28"/>
        </w:rPr>
        <w:t xml:space="preserve"> sinh viên </w:t>
      </w:r>
      <w:r w:rsidR="006C0F61">
        <w:rPr>
          <w:szCs w:val="28"/>
        </w:rPr>
        <w:t xml:space="preserve">(HSSV) </w:t>
      </w:r>
      <w:r>
        <w:rPr>
          <w:szCs w:val="28"/>
        </w:rPr>
        <w:t>đoạt giải trong các kỳ thi quốc gia, quốc tế do đó để quy định được minh bạch, tách bạch đối tượng được khen thưởng đề nghị cơ quan soạn thảo cân nhắc đưa khoản 1, 2 Điều 2 để quy định riêng một điều về đối tượng khen thưởng mà không quy định chung như dự thả</w:t>
      </w:r>
      <w:r w:rsidR="00B5217F">
        <w:rPr>
          <w:szCs w:val="28"/>
        </w:rPr>
        <w:t>o.</w:t>
      </w:r>
    </w:p>
    <w:p w:rsidR="00B5217F" w:rsidRDefault="00B5217F" w:rsidP="00803CFE">
      <w:pPr>
        <w:spacing w:before="60" w:after="60" w:line="340" w:lineRule="exact"/>
        <w:ind w:firstLine="720"/>
        <w:jc w:val="both"/>
        <w:rPr>
          <w:szCs w:val="28"/>
        </w:rPr>
      </w:pPr>
      <w:r>
        <w:rPr>
          <w:szCs w:val="28"/>
        </w:rPr>
        <w:t xml:space="preserve">Bộ Giáo dục và Đào tạo tiếp thu </w:t>
      </w:r>
      <w:r w:rsidR="003619B4">
        <w:rPr>
          <w:szCs w:val="28"/>
        </w:rPr>
        <w:t>chỉnh sửa dự thảo như sau: Quy định Điều 1 là phạm vi điều chỉnh và đối tượng áp dụng. Điều 2 quy định đối tượng khen thưở</w:t>
      </w:r>
      <w:r w:rsidR="0059565D">
        <w:rPr>
          <w:szCs w:val="28"/>
        </w:rPr>
        <w:t xml:space="preserve">ng </w:t>
      </w:r>
      <w:r w:rsidR="003619B4">
        <w:rPr>
          <w:szCs w:val="28"/>
        </w:rPr>
        <w:t>gồm HSSV đoạt giải trong các kỳ thi Olympic các môn học, thi nghiên cứu khoa học kỹ thuật, thi tay nghề thế giới, châu Á, Đông Nam Á, quốc gia</w:t>
      </w:r>
      <w:r w:rsidR="00644ED9">
        <w:rPr>
          <w:szCs w:val="28"/>
        </w:rPr>
        <w:t>.</w:t>
      </w:r>
    </w:p>
    <w:p w:rsidR="00B5217F" w:rsidRDefault="005453C6" w:rsidP="00803CFE">
      <w:pPr>
        <w:tabs>
          <w:tab w:val="left" w:pos="720"/>
        </w:tabs>
        <w:spacing w:before="60" w:after="60" w:line="240" w:lineRule="auto"/>
        <w:ind w:firstLine="720"/>
        <w:jc w:val="both"/>
        <w:rPr>
          <w:szCs w:val="28"/>
        </w:rPr>
      </w:pPr>
      <w:r>
        <w:rPr>
          <w:szCs w:val="28"/>
        </w:rPr>
        <w:t>3</w:t>
      </w:r>
      <w:r w:rsidR="00B5217F">
        <w:rPr>
          <w:szCs w:val="28"/>
        </w:rPr>
        <w:t>. Về đối tượng khen thưởng</w:t>
      </w:r>
    </w:p>
    <w:p w:rsidR="00B5217F" w:rsidRPr="004B01F4" w:rsidRDefault="00707946" w:rsidP="00803CFE">
      <w:pPr>
        <w:tabs>
          <w:tab w:val="left" w:pos="720"/>
        </w:tabs>
        <w:spacing w:before="60" w:after="60" w:line="340" w:lineRule="exact"/>
        <w:ind w:firstLine="720"/>
        <w:jc w:val="both"/>
        <w:rPr>
          <w:szCs w:val="28"/>
        </w:rPr>
      </w:pPr>
      <w:r>
        <w:rPr>
          <w:szCs w:val="28"/>
        </w:rPr>
        <w:t xml:space="preserve">a) </w:t>
      </w:r>
      <w:r w:rsidR="00B5217F" w:rsidRPr="004B01F4">
        <w:rPr>
          <w:szCs w:val="28"/>
        </w:rPr>
        <w:t>Bộ</w:t>
      </w:r>
      <w:r w:rsidR="00B5217F">
        <w:rPr>
          <w:szCs w:val="28"/>
        </w:rPr>
        <w:t xml:space="preserve"> Tư pháp có ý kiến</w:t>
      </w:r>
      <w:r w:rsidR="00B5217F" w:rsidRPr="004B01F4">
        <w:rPr>
          <w:szCs w:val="28"/>
        </w:rPr>
        <w:t xml:space="preserve">: </w:t>
      </w:r>
      <w:r w:rsidR="00B5217F" w:rsidRPr="004B01F4">
        <w:rPr>
          <w:noProof/>
          <w:color w:val="000000"/>
          <w:szCs w:val="28"/>
        </w:rPr>
        <w:t xml:space="preserve">Hiện nay, nhiều cơ quan, tổ chức tiến hành tổ chức các kỳ thi khác nhau mang tính quốc gia, khu vực và quốc tế, ví dụ, Kỳ thi Thử thách nhà Toán học tương lai (CFM), Olympic Toán quốc tế (IMO), Olympic Toán học trẻ quốc tế, Olympic Toán và Khoa học trẻ quốc tế, Olympic Toán châu Á - Thái Bình Dương… </w:t>
      </w:r>
      <w:r w:rsidR="00B5217F" w:rsidRPr="004B01F4">
        <w:rPr>
          <w:szCs w:val="28"/>
        </w:rPr>
        <w:t xml:space="preserve">Quyết định số 158/2002/QĐ-TTg cũng quy định giới hạn kỳ thi được công nhận để xét khen thưởng như </w:t>
      </w:r>
      <w:r w:rsidR="00B5217F" w:rsidRPr="004B01F4">
        <w:rPr>
          <w:noProof/>
          <w:color w:val="000000"/>
          <w:szCs w:val="28"/>
        </w:rPr>
        <w:t>kỳ thi Olympic quốc tế các môn học, kỳ thi Olympic khu vực quốc tế các môn học, kỳ thi Olympic quốc gia các môn học; kỳ thi học sinh giỏi quốc gia và kỳ thi kỹ năng nghề quốc tế, khu vực và quốc gia</w:t>
      </w:r>
      <w:r w:rsidR="00B5217F">
        <w:rPr>
          <w:noProof/>
          <w:color w:val="000000"/>
          <w:szCs w:val="28"/>
        </w:rPr>
        <w:t>..</w:t>
      </w:r>
      <w:r w:rsidR="00B5217F" w:rsidRPr="004B01F4">
        <w:rPr>
          <w:noProof/>
          <w:color w:val="000000"/>
          <w:szCs w:val="28"/>
        </w:rPr>
        <w:t xml:space="preserve">. </w:t>
      </w:r>
      <w:r w:rsidR="00B5217F">
        <w:rPr>
          <w:noProof/>
          <w:color w:val="000000"/>
          <w:szCs w:val="28"/>
        </w:rPr>
        <w:t xml:space="preserve">Tuy nhiên, dự thảo </w:t>
      </w:r>
      <w:r w:rsidR="00B5217F" w:rsidRPr="004B01F4">
        <w:rPr>
          <w:noProof/>
          <w:color w:val="000000"/>
          <w:szCs w:val="28"/>
        </w:rPr>
        <w:t xml:space="preserve">này, cơ quan soạn thảo chưa quy định rõ các kỳ thi được công nhận để xét khen thưởng. Để bảo đảm kỹ thuật soạn thảo, tính minh bạch của quy định và thuận tiện cho quá trình áp dụng pháp luật, đề nghị cơ quan soạn thảo cân nhắc quy định rõ các </w:t>
      </w:r>
      <w:r w:rsidR="00B5217F" w:rsidRPr="004B01F4">
        <w:rPr>
          <w:szCs w:val="28"/>
        </w:rPr>
        <w:t>kỳ thi được công nhận để được xét khen thưởng theo quy định tại Nghị định này.</w:t>
      </w:r>
    </w:p>
    <w:p w:rsidR="00B5217F" w:rsidRDefault="00B5217F" w:rsidP="00803CFE">
      <w:pPr>
        <w:spacing w:before="60" w:after="60" w:line="340" w:lineRule="exact"/>
        <w:ind w:firstLine="720"/>
        <w:jc w:val="both"/>
        <w:rPr>
          <w:sz w:val="32"/>
          <w:szCs w:val="28"/>
        </w:rPr>
      </w:pPr>
      <w:r>
        <w:rPr>
          <w:szCs w:val="28"/>
        </w:rPr>
        <w:t xml:space="preserve">Bộ Giáo dục và Đào tạo </w:t>
      </w:r>
      <w:r w:rsidR="00934577">
        <w:rPr>
          <w:szCs w:val="28"/>
        </w:rPr>
        <w:t xml:space="preserve">tiếp thu </w:t>
      </w:r>
      <w:r w:rsidR="002E6DC0">
        <w:rPr>
          <w:szCs w:val="28"/>
        </w:rPr>
        <w:t xml:space="preserve">và đã bổ sung thêm Điều 2 đối tượng khen thưởng, </w:t>
      </w:r>
      <w:r>
        <w:rPr>
          <w:szCs w:val="28"/>
        </w:rPr>
        <w:t>HSSV tham dự các kỳ thi</w:t>
      </w:r>
      <w:r w:rsidR="002E6DC0">
        <w:rPr>
          <w:szCs w:val="28"/>
        </w:rPr>
        <w:t xml:space="preserve"> quy định tại Điều 2 mới thuộc</w:t>
      </w:r>
      <w:r>
        <w:rPr>
          <w:szCs w:val="28"/>
        </w:rPr>
        <w:t xml:space="preserve"> đối tượng khen thưởng </w:t>
      </w:r>
      <w:r w:rsidR="00934577">
        <w:rPr>
          <w:szCs w:val="28"/>
        </w:rPr>
        <w:t xml:space="preserve">quy định </w:t>
      </w:r>
      <w:r>
        <w:rPr>
          <w:szCs w:val="28"/>
        </w:rPr>
        <w:t>tại Nghị định này. Khoản 2 Điều 7 dự thả</w:t>
      </w:r>
      <w:r w:rsidR="00BD2F6F">
        <w:rPr>
          <w:szCs w:val="28"/>
        </w:rPr>
        <w:t xml:space="preserve">o </w:t>
      </w:r>
      <w:r w:rsidR="00934577">
        <w:rPr>
          <w:szCs w:val="28"/>
        </w:rPr>
        <w:t xml:space="preserve">Nghị định </w:t>
      </w:r>
      <w:r w:rsidR="00BD2F6F">
        <w:rPr>
          <w:szCs w:val="28"/>
        </w:rPr>
        <w:t>cũng</w:t>
      </w:r>
      <w:r>
        <w:rPr>
          <w:szCs w:val="28"/>
        </w:rPr>
        <w:t xml:space="preserve"> đã quy định</w:t>
      </w:r>
      <w:r w:rsidR="00BD2F6F">
        <w:rPr>
          <w:szCs w:val="28"/>
        </w:rPr>
        <w:t xml:space="preserve"> </w:t>
      </w:r>
      <w:r>
        <w:rPr>
          <w:szCs w:val="28"/>
        </w:rPr>
        <w:t xml:space="preserve">Bộ </w:t>
      </w:r>
      <w:r w:rsidRPr="00136751">
        <w:rPr>
          <w:szCs w:val="28"/>
        </w:rPr>
        <w:t>Giáo dục và Đào tạo, Bộ Lao động - Thương binh và Xã hội có trách nhiệm quy định việc tổ chức các kỳ thi học sinh, sinh viên giỏi quốc gia, quyết định cử học sinh, sinh viên tham gia các kỳ thi quốc tế theo quy định</w:t>
      </w:r>
      <w:r>
        <w:rPr>
          <w:sz w:val="32"/>
          <w:szCs w:val="28"/>
        </w:rPr>
        <w:t>.</w:t>
      </w:r>
    </w:p>
    <w:p w:rsidR="00707946" w:rsidRDefault="00707946" w:rsidP="00803CFE">
      <w:pPr>
        <w:spacing w:before="60" w:after="60" w:line="340" w:lineRule="exact"/>
        <w:ind w:firstLine="720"/>
        <w:jc w:val="both"/>
        <w:rPr>
          <w:szCs w:val="28"/>
        </w:rPr>
      </w:pPr>
      <w:r>
        <w:rPr>
          <w:szCs w:val="28"/>
        </w:rPr>
        <w:t xml:space="preserve">b) </w:t>
      </w:r>
      <w:r w:rsidR="00CF518B" w:rsidRPr="00707946">
        <w:rPr>
          <w:szCs w:val="28"/>
        </w:rPr>
        <w:t xml:space="preserve">Bộ Tài chính có ý kiến: </w:t>
      </w:r>
    </w:p>
    <w:p w:rsidR="00707946" w:rsidRDefault="00707946" w:rsidP="00803CFE">
      <w:pPr>
        <w:spacing w:before="60" w:after="60" w:line="340" w:lineRule="exact"/>
        <w:ind w:firstLine="720"/>
        <w:jc w:val="both"/>
        <w:rPr>
          <w:szCs w:val="28"/>
        </w:rPr>
      </w:pPr>
      <w:r>
        <w:rPr>
          <w:szCs w:val="28"/>
        </w:rPr>
        <w:lastRenderedPageBreak/>
        <w:t>Bộ Tài chính thống nhất bổ sung đối tượng học sinh đoạt giải của kỳ thi nghiên cứu khoa học kỹ thuật cấp quốc gia. Tuy nhiên hiện nay chưa có quy định về hệ thống thi nghiên cứu khoa học kỹ thuật cấp quốc gia đối với HSSV tại các cơ sở giáo dục nghề nghiệp và giáo dục đại học, vì vậy, đề nghị không bổ sung đối tượng này.</w:t>
      </w:r>
    </w:p>
    <w:p w:rsidR="00CF518B" w:rsidRPr="00707946" w:rsidRDefault="00CF518B" w:rsidP="00803CFE">
      <w:pPr>
        <w:spacing w:before="60" w:after="60" w:line="340" w:lineRule="exact"/>
        <w:ind w:firstLine="720"/>
        <w:jc w:val="both"/>
        <w:rPr>
          <w:szCs w:val="28"/>
        </w:rPr>
      </w:pPr>
      <w:r w:rsidRPr="00707946">
        <w:rPr>
          <w:szCs w:val="28"/>
        </w:rPr>
        <w:t xml:space="preserve">Đối với việc bổ sung đối tượng là HSSV đoạt giải các kỳ thi nghiên cứu khoa học kỹ thuật quốc tế, đề nghị Bộ Giáo </w:t>
      </w:r>
      <w:r w:rsidR="000B4404" w:rsidRPr="00707946">
        <w:rPr>
          <w:szCs w:val="28"/>
        </w:rPr>
        <w:t>dục và Đào tạo bổ sung, làm rõ sự tương đồng về tính chất, đơn vị tổ chức, quy mô, trình độ, của các kỳ thi này với kỳ thi Olympic, kỳ thi tay nghề để trình Chính phủ xem xét, bổ sung đối tượng này</w:t>
      </w:r>
      <w:r w:rsidR="00644ED9">
        <w:rPr>
          <w:szCs w:val="28"/>
        </w:rPr>
        <w:t>.</w:t>
      </w:r>
    </w:p>
    <w:p w:rsidR="00707946" w:rsidRDefault="003C1D95" w:rsidP="00803CFE">
      <w:pPr>
        <w:spacing w:before="60" w:after="60" w:line="340" w:lineRule="exact"/>
        <w:ind w:firstLine="720"/>
        <w:jc w:val="both"/>
        <w:rPr>
          <w:szCs w:val="28"/>
        </w:rPr>
      </w:pPr>
      <w:r>
        <w:rPr>
          <w:szCs w:val="28"/>
        </w:rPr>
        <w:t xml:space="preserve">Bộ Giáo dục và Đào tạo có ý kiến như sau: </w:t>
      </w:r>
    </w:p>
    <w:p w:rsidR="00F60E01" w:rsidRDefault="00F60E01" w:rsidP="00803CFE">
      <w:pPr>
        <w:spacing w:before="60" w:after="60" w:line="340" w:lineRule="exact"/>
        <w:ind w:firstLine="720"/>
        <w:jc w:val="both"/>
        <w:rPr>
          <w:szCs w:val="28"/>
        </w:rPr>
      </w:pPr>
      <w:r>
        <w:rPr>
          <w:szCs w:val="28"/>
        </w:rPr>
        <w:t xml:space="preserve">Từ năm 2012, </w:t>
      </w:r>
      <w:r w:rsidR="00707946">
        <w:rPr>
          <w:szCs w:val="28"/>
        </w:rPr>
        <w:t xml:space="preserve">Bộ Giáo dục và Đào tạo đã có Thông tư quy định </w:t>
      </w:r>
      <w:r>
        <w:rPr>
          <w:szCs w:val="28"/>
        </w:rPr>
        <w:t xml:space="preserve">về quy chế thi khoa học kỹ thuật cấp quốc gia đối với học sinh trung học và hằng năm đều tổ chức kỳ thi có hiệu quả. </w:t>
      </w:r>
    </w:p>
    <w:p w:rsidR="000B4404" w:rsidRPr="00065968" w:rsidRDefault="00065968" w:rsidP="00803CFE">
      <w:pPr>
        <w:spacing w:before="60" w:after="60" w:line="340" w:lineRule="exact"/>
        <w:ind w:firstLine="720"/>
        <w:jc w:val="both"/>
        <w:rPr>
          <w:color w:val="000000" w:themeColor="text1"/>
          <w:szCs w:val="28"/>
        </w:rPr>
      </w:pPr>
      <w:r>
        <w:rPr>
          <w:szCs w:val="28"/>
        </w:rPr>
        <w:t>Kỳ thi nghiên khoa học kỹ thuật quốc tế (I</w:t>
      </w:r>
      <w:r w:rsidR="008B60D4">
        <w:rPr>
          <w:szCs w:val="28"/>
        </w:rPr>
        <w:t>SEF</w:t>
      </w:r>
      <w:r>
        <w:rPr>
          <w:szCs w:val="28"/>
        </w:rPr>
        <w:t>) được tổ chứ</w:t>
      </w:r>
      <w:r w:rsidR="00B2509C">
        <w:rPr>
          <w:szCs w:val="28"/>
        </w:rPr>
        <w:t xml:space="preserve">c hàng năm có </w:t>
      </w:r>
      <w:r>
        <w:rPr>
          <w:szCs w:val="28"/>
        </w:rPr>
        <w:t>khoảng 1400 dự án của 1800 học sinh</w:t>
      </w:r>
      <w:r w:rsidR="00B2509C">
        <w:rPr>
          <w:szCs w:val="28"/>
        </w:rPr>
        <w:t xml:space="preserve"> trung học</w:t>
      </w:r>
      <w:r>
        <w:rPr>
          <w:szCs w:val="28"/>
        </w:rPr>
        <w:t xml:space="preserve"> củ</w:t>
      </w:r>
      <w:r w:rsidR="00CB6CDB">
        <w:rPr>
          <w:szCs w:val="28"/>
        </w:rPr>
        <w:t>a gần</w:t>
      </w:r>
      <w:r>
        <w:rPr>
          <w:szCs w:val="28"/>
        </w:rPr>
        <w:t xml:space="preserve"> </w:t>
      </w:r>
      <w:r w:rsidR="00CB6CDB">
        <w:rPr>
          <w:szCs w:val="28"/>
        </w:rPr>
        <w:t>80 quốc gia và vùng lãnh thổ</w:t>
      </w:r>
      <w:r>
        <w:rPr>
          <w:szCs w:val="28"/>
        </w:rPr>
        <w:t xml:space="preserve"> tham gia. Thông thường học sinh phải có thời gian khoảng một năm để ngh</w:t>
      </w:r>
      <w:r w:rsidR="008B60D4">
        <w:rPr>
          <w:szCs w:val="28"/>
        </w:rPr>
        <w:t>iên</w:t>
      </w:r>
      <w:r>
        <w:rPr>
          <w:szCs w:val="28"/>
        </w:rPr>
        <w:t xml:space="preserve"> cứu những dự án có tính ứng dụng thực tế cao và khi dự thi phải có kỹ năng thực hành và kỹ năng Tiếng Anh. Giám khảo của kỳ thi là các nhà khoa học đến từ nhiều trường đại học danh tiếng trên thế giới trong đó có ít nhất từ 4 đến 5 nhà khoa học đ</w:t>
      </w:r>
      <w:r w:rsidR="004A6D7D">
        <w:rPr>
          <w:szCs w:val="28"/>
        </w:rPr>
        <w:t>o</w:t>
      </w:r>
      <w:r>
        <w:rPr>
          <w:szCs w:val="28"/>
        </w:rPr>
        <w:t xml:space="preserve">ạt giải </w:t>
      </w:r>
      <w:r w:rsidRPr="00065968">
        <w:rPr>
          <w:color w:val="FF0000"/>
          <w:szCs w:val="28"/>
        </w:rPr>
        <w:t>NoBen</w:t>
      </w:r>
      <w:r>
        <w:rPr>
          <w:color w:val="FF0000"/>
          <w:szCs w:val="28"/>
        </w:rPr>
        <w:t xml:space="preserve">. </w:t>
      </w:r>
      <w:r w:rsidRPr="00065968">
        <w:rPr>
          <w:color w:val="000000" w:themeColor="text1"/>
          <w:szCs w:val="28"/>
        </w:rPr>
        <w:t xml:space="preserve">Kỳ thi đã </w:t>
      </w:r>
      <w:r>
        <w:rPr>
          <w:color w:val="000000" w:themeColor="text1"/>
          <w:szCs w:val="28"/>
        </w:rPr>
        <w:t xml:space="preserve">được tổ chức thường niên 70 năm, học sinh Việt Nam bắt đầu tham gia dự thi từ năm 2012 và đã có một số học sinh đoạt giải ba và giải khuyến khích. Kỳ thi </w:t>
      </w:r>
      <w:r w:rsidR="00B2509C">
        <w:rPr>
          <w:color w:val="000000" w:themeColor="text1"/>
          <w:szCs w:val="28"/>
        </w:rPr>
        <w:t>có quy định chặt chẽ và được coi là kỳ thi</w:t>
      </w:r>
      <w:r>
        <w:rPr>
          <w:color w:val="000000" w:themeColor="text1"/>
          <w:szCs w:val="28"/>
        </w:rPr>
        <w:t xml:space="preserve"> đánh giá được năng lực ng</w:t>
      </w:r>
      <w:r w:rsidR="008B60D4">
        <w:rPr>
          <w:color w:val="000000" w:themeColor="text1"/>
          <w:szCs w:val="28"/>
        </w:rPr>
        <w:t>h</w:t>
      </w:r>
      <w:r>
        <w:rPr>
          <w:color w:val="000000" w:themeColor="text1"/>
          <w:szCs w:val="28"/>
        </w:rPr>
        <w:t xml:space="preserve">iên cứu khoa học của học sinh phổ thông </w:t>
      </w:r>
      <w:r w:rsidR="008B60D4">
        <w:rPr>
          <w:color w:val="000000" w:themeColor="text1"/>
          <w:szCs w:val="28"/>
        </w:rPr>
        <w:t>lớn nhất thế giớ</w:t>
      </w:r>
      <w:r w:rsidR="00B2509C">
        <w:rPr>
          <w:color w:val="000000" w:themeColor="text1"/>
          <w:szCs w:val="28"/>
        </w:rPr>
        <w:t>i.</w:t>
      </w:r>
      <w:r w:rsidR="008B60D4">
        <w:rPr>
          <w:color w:val="000000" w:themeColor="text1"/>
          <w:szCs w:val="28"/>
        </w:rPr>
        <w:t xml:space="preserve"> </w:t>
      </w:r>
      <w:r w:rsidR="00B2509C">
        <w:rPr>
          <w:color w:val="000000" w:themeColor="text1"/>
          <w:szCs w:val="28"/>
        </w:rPr>
        <w:t>Căn cứ trên quy mô tổ chức, chất lượng của kỳ thi</w:t>
      </w:r>
      <w:r w:rsidR="0059565D">
        <w:rPr>
          <w:color w:val="000000" w:themeColor="text1"/>
          <w:szCs w:val="28"/>
        </w:rPr>
        <w:t>,</w:t>
      </w:r>
      <w:r w:rsidR="00B2509C">
        <w:rPr>
          <w:color w:val="000000" w:themeColor="text1"/>
          <w:szCs w:val="28"/>
        </w:rPr>
        <w:t xml:space="preserve"> </w:t>
      </w:r>
      <w:r w:rsidR="008B60D4">
        <w:rPr>
          <w:color w:val="000000" w:themeColor="text1"/>
          <w:szCs w:val="28"/>
        </w:rPr>
        <w:t xml:space="preserve">Bộ Giáo dục và Đào tạo đề nghị đưa đối tượng học sinh đoạt giải trong kỳ thi nghiên cứu khoa học kỹ thuật </w:t>
      </w:r>
      <w:r w:rsidR="00A11781">
        <w:rPr>
          <w:color w:val="000000" w:themeColor="text1"/>
          <w:szCs w:val="28"/>
        </w:rPr>
        <w:t>quốc</w:t>
      </w:r>
      <w:r w:rsidR="00B2509C">
        <w:rPr>
          <w:color w:val="000000" w:themeColor="text1"/>
          <w:szCs w:val="28"/>
        </w:rPr>
        <w:t xml:space="preserve"> tế </w:t>
      </w:r>
      <w:r w:rsidR="008B60D4">
        <w:rPr>
          <w:color w:val="000000" w:themeColor="text1"/>
          <w:szCs w:val="28"/>
        </w:rPr>
        <w:t>vào đối tượng khen thưởng trong dự thảo Nghị định. Các thành viên Chính phủ đã nhất trí với đề xuất này của Bộ Giáo dục và Đào tạo khi xây dựng hồ sơ đề nghị xây dựng Nghị định.</w:t>
      </w:r>
    </w:p>
    <w:p w:rsidR="00BD2F6F" w:rsidRDefault="005453C6" w:rsidP="00803CFE">
      <w:pPr>
        <w:spacing w:before="60" w:after="60" w:line="240" w:lineRule="auto"/>
        <w:ind w:firstLine="720"/>
        <w:jc w:val="both"/>
        <w:rPr>
          <w:szCs w:val="28"/>
        </w:rPr>
      </w:pPr>
      <w:r>
        <w:rPr>
          <w:szCs w:val="28"/>
        </w:rPr>
        <w:t>4</w:t>
      </w:r>
      <w:r w:rsidR="00BD2F6F">
        <w:rPr>
          <w:szCs w:val="28"/>
        </w:rPr>
        <w:t>. Về hình thức và tiêu chuẩn khen thưởng</w:t>
      </w:r>
    </w:p>
    <w:p w:rsidR="00B2509C" w:rsidRDefault="005453C6" w:rsidP="00803CFE">
      <w:pPr>
        <w:spacing w:before="60" w:after="60" w:line="340" w:lineRule="exact"/>
        <w:ind w:firstLine="720"/>
        <w:jc w:val="both"/>
        <w:rPr>
          <w:szCs w:val="28"/>
        </w:rPr>
      </w:pPr>
      <w:r>
        <w:rPr>
          <w:szCs w:val="28"/>
        </w:rPr>
        <w:t>4</w:t>
      </w:r>
      <w:r w:rsidR="00BD2F6F">
        <w:rPr>
          <w:szCs w:val="28"/>
        </w:rPr>
        <w:t xml:space="preserve">.1 </w:t>
      </w:r>
      <w:r w:rsidR="00B2509C">
        <w:rPr>
          <w:szCs w:val="28"/>
        </w:rPr>
        <w:t>Về hình thức khen thưởng Huân chương Lao động hạng nhất</w:t>
      </w:r>
    </w:p>
    <w:p w:rsidR="00BD2F6F" w:rsidRDefault="00BD2F6F" w:rsidP="00803CFE">
      <w:pPr>
        <w:spacing w:before="60" w:after="60" w:line="340" w:lineRule="exact"/>
        <w:ind w:firstLine="720"/>
        <w:jc w:val="both"/>
        <w:rPr>
          <w:szCs w:val="28"/>
        </w:rPr>
      </w:pPr>
      <w:r>
        <w:rPr>
          <w:szCs w:val="28"/>
        </w:rPr>
        <w:t>Bộ Tư pháp có ý kiến: Khoản 6 Điều 3 Dự thảo quy định “Trong một năm học HSSV đạt nhiều thành tích trong các kỳ thi quốc tế thì được xét khen thưởng theo thành tích cao nhất” việc quy định thành tích trên phù hợp với việc xác định hình thức khen thưởng HSSV có thành tích cao thấp khác nhau trong 1 năm học, tuy nhiên lại chưa phù hợp với HSSV có cùng thành tích cao như hình thức khen thưởng cho HSSV đoạt 02 Huy chương Vàng thế giới tại Khoản 1 Điều 3 của dự thảo. Do vậy đề nghị cơ quan soạn thảo rà soát thêm để quy định nội dung cho phù hợp</w:t>
      </w:r>
      <w:r w:rsidR="00644ED9">
        <w:rPr>
          <w:szCs w:val="28"/>
        </w:rPr>
        <w:t>.</w:t>
      </w:r>
    </w:p>
    <w:p w:rsidR="00BD2F6F" w:rsidRDefault="00BD2F6F" w:rsidP="00803CFE">
      <w:pPr>
        <w:spacing w:before="60" w:after="60" w:line="340" w:lineRule="exact"/>
        <w:ind w:firstLine="720"/>
        <w:jc w:val="both"/>
        <w:rPr>
          <w:szCs w:val="28"/>
        </w:rPr>
      </w:pPr>
      <w:r>
        <w:rPr>
          <w:szCs w:val="28"/>
        </w:rPr>
        <w:lastRenderedPageBreak/>
        <w:t xml:space="preserve">Ban Thi đua - Khen thưởng Trung ương có ý kiến: Đề nghị quy định tiêu chuẩn tặng thưởng Huân chương lao động hạng nhất tại Khoản 1 Điều 3 của dự thảo theo hướng </w:t>
      </w:r>
      <w:r w:rsidR="001535E9">
        <w:rPr>
          <w:szCs w:val="28"/>
        </w:rPr>
        <w:t xml:space="preserve">HSSV </w:t>
      </w:r>
      <w:r>
        <w:rPr>
          <w:szCs w:val="28"/>
        </w:rPr>
        <w:t>có thành tích đặc biệt xuất sắc đoạt 02 Huy chương Vàng thế giới trong kỳ thi Olympic các môn học, thi nghiên cứu khoa học kỹ thuật hoặc đoạt liên tục Huy chương Vàng thế giới và Huy chương Vàng châu Á đối với kỳ thi tay nghề</w:t>
      </w:r>
      <w:r w:rsidR="00644ED9">
        <w:rPr>
          <w:szCs w:val="28"/>
        </w:rPr>
        <w:t>.</w:t>
      </w:r>
    </w:p>
    <w:p w:rsidR="00B2509C" w:rsidRDefault="00B2509C" w:rsidP="00B2509C">
      <w:pPr>
        <w:spacing w:before="60" w:after="60"/>
        <w:ind w:firstLine="720"/>
        <w:jc w:val="both"/>
        <w:rPr>
          <w:spacing w:val="-2"/>
          <w:lang w:val="pt-BR"/>
        </w:rPr>
      </w:pPr>
      <w:r>
        <w:rPr>
          <w:spacing w:val="-2"/>
          <w:lang w:val="pt-BR"/>
        </w:rPr>
        <w:t>Bộ Tài chính có ý kiến: Do thành tích của HSSV đoạt giải trong trong các kỳ thi là thành tích tiêu biểu, xuất sắc đột xuất nên cần đảm bảo nguyên tắc đó là thành tích đến đâu khen thưởng đến đó, không cộng dồn thành tích để xét khen thưởng cao hơn. Vì vậy, đề nghị xem lại các quy định về việc tặng Huân chương Lao động hạng nhất cho HSSV đoạt 2 Huy chương Vàng thế giới hoặc đoạt Huy chương Vàng châu Á và Huy chương Vàng thế giới</w:t>
      </w:r>
      <w:r w:rsidR="00644ED9">
        <w:rPr>
          <w:spacing w:val="-2"/>
          <w:lang w:val="pt-BR"/>
        </w:rPr>
        <w:t>.</w:t>
      </w:r>
      <w:r>
        <w:rPr>
          <w:spacing w:val="-2"/>
          <w:lang w:val="pt-BR"/>
        </w:rPr>
        <w:t xml:space="preserve"> </w:t>
      </w:r>
    </w:p>
    <w:p w:rsidR="00B2509C" w:rsidRPr="004273BC" w:rsidRDefault="00B2509C" w:rsidP="00B2509C">
      <w:pPr>
        <w:spacing w:before="60" w:after="60"/>
        <w:jc w:val="both"/>
        <w:rPr>
          <w:spacing w:val="-2"/>
          <w:lang w:val="pt-BR"/>
        </w:rPr>
      </w:pPr>
      <w:r>
        <w:rPr>
          <w:spacing w:val="-2"/>
          <w:lang w:val="pt-BR"/>
        </w:rPr>
        <w:tab/>
        <w:t xml:space="preserve"> </w:t>
      </w:r>
      <w:r w:rsidR="00BD2F6F">
        <w:rPr>
          <w:szCs w:val="28"/>
        </w:rPr>
        <w:t>Bộ Giáo dục và Đào tạ</w:t>
      </w:r>
      <w:r w:rsidR="00934577">
        <w:rPr>
          <w:szCs w:val="28"/>
        </w:rPr>
        <w:t xml:space="preserve">o trân trọng tiếp </w:t>
      </w:r>
      <w:r w:rsidR="00BD2F6F">
        <w:rPr>
          <w:szCs w:val="28"/>
        </w:rPr>
        <w:t xml:space="preserve">thu và bổ sung tiêu chuẩn tặng Huân chương lao động hạng Nhất: HSSV phải đoạt 2 Huy chương Vàng thế giới </w:t>
      </w:r>
      <w:r w:rsidR="00BD2F6F" w:rsidRPr="00BD2F6F">
        <w:rPr>
          <w:szCs w:val="28"/>
        </w:rPr>
        <w:t>liên tục</w:t>
      </w:r>
      <w:r w:rsidR="00934577">
        <w:rPr>
          <w:szCs w:val="28"/>
        </w:rPr>
        <w:t>.</w:t>
      </w:r>
      <w:r w:rsidRPr="00B2509C">
        <w:rPr>
          <w:spacing w:val="-2"/>
          <w:lang w:val="pt-BR"/>
        </w:rPr>
        <w:t xml:space="preserve"> </w:t>
      </w:r>
      <w:r>
        <w:rPr>
          <w:spacing w:val="-2"/>
          <w:lang w:val="pt-BR"/>
        </w:rPr>
        <w:t>Tiêu chuẩn tặng Huân chương Lao độ</w:t>
      </w:r>
      <w:r w:rsidR="0059565D">
        <w:rPr>
          <w:spacing w:val="-2"/>
          <w:lang w:val="pt-BR"/>
        </w:rPr>
        <w:t>ng hạng</w:t>
      </w:r>
      <w:r>
        <w:rPr>
          <w:spacing w:val="-2"/>
          <w:lang w:val="pt-BR"/>
        </w:rPr>
        <w:t xml:space="preserve"> nhất không phải là cộng dồn thành tích mà là</w:t>
      </w:r>
      <w:r w:rsidR="0059565D">
        <w:rPr>
          <w:spacing w:val="-2"/>
          <w:lang w:val="pt-BR"/>
        </w:rPr>
        <w:t xml:space="preserve"> khen thưởng</w:t>
      </w:r>
      <w:r>
        <w:rPr>
          <w:spacing w:val="-2"/>
          <w:lang w:val="pt-BR"/>
        </w:rPr>
        <w:t xml:space="preserve"> học sinh có thành tích đặc biệt xuất sắc, số lượng các học sinh đạt được thành tích này rất ít: Mỗi năm có khoảng một em, có năm không có học sinh nào đạt tiêu chuẩn khen thưởng. </w:t>
      </w:r>
    </w:p>
    <w:p w:rsidR="00AC11F6" w:rsidRDefault="007A07A7" w:rsidP="00B2509C">
      <w:pPr>
        <w:spacing w:before="60" w:after="60" w:line="240" w:lineRule="auto"/>
        <w:ind w:firstLine="720"/>
        <w:jc w:val="both"/>
        <w:rPr>
          <w:szCs w:val="28"/>
        </w:rPr>
      </w:pPr>
      <w:r>
        <w:rPr>
          <w:szCs w:val="28"/>
        </w:rPr>
        <w:t>4</w:t>
      </w:r>
      <w:r w:rsidR="00BD2F6F">
        <w:rPr>
          <w:szCs w:val="28"/>
        </w:rPr>
        <w:t>.2 Bộ Lao động - Thương binh và Xã hội có ý kiến</w:t>
      </w:r>
      <w:r w:rsidR="009E2FB0">
        <w:rPr>
          <w:szCs w:val="28"/>
        </w:rPr>
        <w:t xml:space="preserve"> đề nghị</w:t>
      </w:r>
      <w:r w:rsidR="000352A5">
        <w:rPr>
          <w:szCs w:val="28"/>
        </w:rPr>
        <w:t xml:space="preserve"> hình thức khen thưởng áp dụng cho </w:t>
      </w:r>
      <w:r w:rsidR="001535E9">
        <w:rPr>
          <w:szCs w:val="28"/>
        </w:rPr>
        <w:t xml:space="preserve">HSSV </w:t>
      </w:r>
      <w:r w:rsidR="000352A5">
        <w:rPr>
          <w:szCs w:val="28"/>
        </w:rPr>
        <w:t>đoạt giải trong các kỳ thi tay nghề</w:t>
      </w:r>
      <w:r w:rsidR="009E2FB0">
        <w:rPr>
          <w:szCs w:val="28"/>
        </w:rPr>
        <w:t xml:space="preserve"> thấp hơn so với HSSV đoạt giải Olympic các môn học và thi nghiên cứu khoa học kỹ thuật</w:t>
      </w:r>
      <w:r w:rsidR="000352A5">
        <w:rPr>
          <w:szCs w:val="28"/>
        </w:rPr>
        <w:t xml:space="preserve">. </w:t>
      </w:r>
      <w:r w:rsidR="00AC11F6">
        <w:rPr>
          <w:szCs w:val="28"/>
        </w:rPr>
        <w:t xml:space="preserve"> </w:t>
      </w:r>
    </w:p>
    <w:p w:rsidR="00AC11F6" w:rsidRDefault="007A07A7" w:rsidP="00803CFE">
      <w:pPr>
        <w:spacing w:before="60" w:after="60" w:line="240" w:lineRule="auto"/>
        <w:ind w:firstLine="720"/>
        <w:jc w:val="both"/>
        <w:rPr>
          <w:szCs w:val="28"/>
        </w:rPr>
      </w:pPr>
      <w:r>
        <w:rPr>
          <w:szCs w:val="28"/>
        </w:rPr>
        <w:t>4.2.1</w:t>
      </w:r>
      <w:r w:rsidR="00AC11F6" w:rsidRPr="00AC11F6">
        <w:rPr>
          <w:szCs w:val="28"/>
        </w:rPr>
        <w:t xml:space="preserve"> </w:t>
      </w:r>
      <w:r w:rsidR="00AC11F6">
        <w:rPr>
          <w:szCs w:val="28"/>
        </w:rPr>
        <w:t>Đặc thù của việc tham gia kỳ thi tay nghề quốc gia, quốc tế</w:t>
      </w:r>
    </w:p>
    <w:p w:rsidR="00C75572" w:rsidRDefault="007A07A7" w:rsidP="00803CFE">
      <w:pPr>
        <w:spacing w:before="60" w:after="60" w:line="240" w:lineRule="auto"/>
        <w:ind w:firstLine="720"/>
        <w:jc w:val="both"/>
        <w:rPr>
          <w:szCs w:val="28"/>
        </w:rPr>
      </w:pPr>
      <w:r>
        <w:rPr>
          <w:szCs w:val="28"/>
        </w:rPr>
        <w:t>a)</w:t>
      </w:r>
      <w:r w:rsidR="00C75572">
        <w:rPr>
          <w:szCs w:val="28"/>
        </w:rPr>
        <w:t xml:space="preserve"> Kỳ thi tay nghề quốc gia được tổ chức từ năm 2002 theo quy định 2 năm 1 lần vào các năm chẵn</w:t>
      </w:r>
      <w:r w:rsidR="00644ED9">
        <w:rPr>
          <w:szCs w:val="28"/>
        </w:rPr>
        <w:t>;</w:t>
      </w:r>
    </w:p>
    <w:p w:rsidR="00C75572" w:rsidRDefault="007A07A7" w:rsidP="00803CFE">
      <w:pPr>
        <w:spacing w:before="60" w:after="60" w:line="240" w:lineRule="auto"/>
        <w:ind w:firstLine="720"/>
        <w:jc w:val="both"/>
        <w:rPr>
          <w:szCs w:val="28"/>
        </w:rPr>
      </w:pPr>
      <w:r>
        <w:rPr>
          <w:szCs w:val="28"/>
        </w:rPr>
        <w:t>b)</w:t>
      </w:r>
      <w:r w:rsidR="00C75572">
        <w:rPr>
          <w:szCs w:val="28"/>
        </w:rPr>
        <w:t xml:space="preserve"> Kỳ thi tay nghề Đông Nam Á được tổ chức từ năm 1993, từ năm 2002 được tổ chức 2 năm 1 lần vào năm chẵn, Việt Nam bắt đầu tham dự từ năm 2001 (Việt Nam đã được xếp thứ nhất toàn đoàn vào các năm 2004, 2006, 2011) đ</w:t>
      </w:r>
      <w:r w:rsidR="00F7523F">
        <w:rPr>
          <w:szCs w:val="28"/>
        </w:rPr>
        <w:t>oạt</w:t>
      </w:r>
      <w:r w:rsidR="00C75572">
        <w:rPr>
          <w:szCs w:val="28"/>
        </w:rPr>
        <w:t xml:space="preserve"> nhiều Huy chương Vàng, Bạc, Đồng và hiện thuộc tốp 4 nước có thành tích cao nhấ</w:t>
      </w:r>
      <w:r w:rsidR="00644ED9">
        <w:rPr>
          <w:szCs w:val="28"/>
        </w:rPr>
        <w:t>t;</w:t>
      </w:r>
    </w:p>
    <w:p w:rsidR="00C75572" w:rsidRDefault="007A07A7" w:rsidP="00803CFE">
      <w:pPr>
        <w:spacing w:before="60" w:after="60" w:line="240" w:lineRule="auto"/>
        <w:ind w:firstLine="720"/>
        <w:jc w:val="both"/>
        <w:rPr>
          <w:szCs w:val="28"/>
        </w:rPr>
      </w:pPr>
      <w:r>
        <w:rPr>
          <w:szCs w:val="28"/>
        </w:rPr>
        <w:t>c)</w:t>
      </w:r>
      <w:r w:rsidR="00C75572">
        <w:rPr>
          <w:szCs w:val="28"/>
        </w:rPr>
        <w:t xml:space="preserve"> Kỳ thi tay nghề châu Á: Được tổ chức 2 năm 1 lần vào các năm chẵn, Việt Nam chưa tham dự kỳ thi nào</w:t>
      </w:r>
      <w:r w:rsidR="00D23EC1">
        <w:rPr>
          <w:szCs w:val="28"/>
        </w:rPr>
        <w:t>, dự kiến sẽ tham gia trong các kỳ thi sắp tớ</w:t>
      </w:r>
      <w:r w:rsidR="00644ED9">
        <w:rPr>
          <w:szCs w:val="28"/>
        </w:rPr>
        <w:t>i;</w:t>
      </w:r>
    </w:p>
    <w:p w:rsidR="00C75572" w:rsidRDefault="007A07A7" w:rsidP="00803CFE">
      <w:pPr>
        <w:spacing w:before="60" w:after="60" w:line="240" w:lineRule="auto"/>
        <w:ind w:firstLine="720"/>
        <w:jc w:val="both"/>
        <w:rPr>
          <w:szCs w:val="28"/>
        </w:rPr>
      </w:pPr>
      <w:r>
        <w:rPr>
          <w:szCs w:val="28"/>
        </w:rPr>
        <w:t>d)</w:t>
      </w:r>
      <w:r w:rsidR="00C75572">
        <w:rPr>
          <w:szCs w:val="28"/>
        </w:rPr>
        <w:t xml:space="preserve"> Kỳ thi tay nghề thế giới: Tổ chức 2 năm 1 lần vào các năm lẻ, Việt Nam tham dự từ năm 2007</w:t>
      </w:r>
      <w:r w:rsidR="00D23EC1">
        <w:rPr>
          <w:szCs w:val="28"/>
        </w:rPr>
        <w:t>, có 2 học sinh đoạt Huy chương Đồng vào năm 2015 và 2017 (Chủ tịch nước đã tặng thưởng Huân chương lao động hạng ba cho 2 họ</w:t>
      </w:r>
      <w:r w:rsidR="00F7523F">
        <w:rPr>
          <w:szCs w:val="28"/>
        </w:rPr>
        <w:t>c sinh này). Đ</w:t>
      </w:r>
      <w:r w:rsidR="00D23EC1">
        <w:rPr>
          <w:szCs w:val="28"/>
        </w:rPr>
        <w:t>ế</w:t>
      </w:r>
      <w:r w:rsidR="00F7523F">
        <w:rPr>
          <w:szCs w:val="28"/>
        </w:rPr>
        <w:t>n nay chưa có HSSV</w:t>
      </w:r>
      <w:r w:rsidR="00D23EC1">
        <w:rPr>
          <w:szCs w:val="28"/>
        </w:rPr>
        <w:t xml:space="preserve"> nào đoạt được Huy chương Vàng và Huy chương Bạc trong kỳ thi tay nghề thế giớ</w:t>
      </w:r>
      <w:r w:rsidR="00644ED9">
        <w:rPr>
          <w:szCs w:val="28"/>
        </w:rPr>
        <w:t>i;</w:t>
      </w:r>
      <w:r w:rsidR="00D23EC1">
        <w:rPr>
          <w:szCs w:val="28"/>
        </w:rPr>
        <w:t xml:space="preserve"> </w:t>
      </w:r>
    </w:p>
    <w:p w:rsidR="00A13F32" w:rsidRDefault="007A07A7" w:rsidP="00803CFE">
      <w:pPr>
        <w:spacing w:before="60" w:after="60" w:line="240" w:lineRule="auto"/>
        <w:ind w:firstLine="720"/>
        <w:jc w:val="both"/>
        <w:rPr>
          <w:szCs w:val="28"/>
        </w:rPr>
      </w:pPr>
      <w:r>
        <w:rPr>
          <w:szCs w:val="28"/>
        </w:rPr>
        <w:t xml:space="preserve">đ) </w:t>
      </w:r>
      <w:r w:rsidR="00A13F32">
        <w:rPr>
          <w:szCs w:val="28"/>
        </w:rPr>
        <w:t>Theo quy chế tổ chứ</w:t>
      </w:r>
      <w:r w:rsidR="00F7523F">
        <w:rPr>
          <w:szCs w:val="28"/>
        </w:rPr>
        <w:t>c,</w:t>
      </w:r>
      <w:r w:rsidR="00A13F32">
        <w:rPr>
          <w:szCs w:val="28"/>
        </w:rPr>
        <w:t xml:space="preserve"> mỗ</w:t>
      </w:r>
      <w:r w:rsidR="00F7523F">
        <w:rPr>
          <w:szCs w:val="28"/>
        </w:rPr>
        <w:t>i HSSV</w:t>
      </w:r>
      <w:r w:rsidR="00A13F32">
        <w:rPr>
          <w:szCs w:val="28"/>
        </w:rPr>
        <w:t xml:space="preserve"> chỉ được dự thi duy nhất 1 lần ở cùng 1 cấp.</w:t>
      </w:r>
    </w:p>
    <w:p w:rsidR="00A13F32" w:rsidRDefault="007A07A7" w:rsidP="004273BC">
      <w:pPr>
        <w:spacing w:before="60" w:after="60" w:line="240" w:lineRule="auto"/>
        <w:ind w:firstLine="720"/>
        <w:jc w:val="both"/>
        <w:rPr>
          <w:szCs w:val="28"/>
        </w:rPr>
      </w:pPr>
      <w:r>
        <w:rPr>
          <w:szCs w:val="28"/>
        </w:rPr>
        <w:t>4.2.2</w:t>
      </w:r>
      <w:r w:rsidR="00D23EC1">
        <w:rPr>
          <w:szCs w:val="28"/>
        </w:rPr>
        <w:t xml:space="preserve"> </w:t>
      </w:r>
      <w:r w:rsidR="004273BC">
        <w:rPr>
          <w:szCs w:val="28"/>
        </w:rPr>
        <w:t>Đề nghị cụ thể của Bộ Lao động - Thương binh và Xã hội</w:t>
      </w:r>
    </w:p>
    <w:p w:rsidR="004273BC" w:rsidRDefault="007A07A7" w:rsidP="004273BC">
      <w:pPr>
        <w:spacing w:before="60" w:after="60" w:line="240" w:lineRule="auto"/>
        <w:ind w:firstLine="720"/>
        <w:jc w:val="both"/>
        <w:rPr>
          <w:szCs w:val="28"/>
        </w:rPr>
      </w:pPr>
      <w:r>
        <w:rPr>
          <w:szCs w:val="28"/>
        </w:rPr>
        <w:lastRenderedPageBreak/>
        <w:t>a)</w:t>
      </w:r>
      <w:r w:rsidR="004273BC">
        <w:rPr>
          <w:szCs w:val="28"/>
        </w:rPr>
        <w:t xml:space="preserve"> </w:t>
      </w:r>
      <w:r w:rsidR="004273BC" w:rsidRPr="000352A5">
        <w:rPr>
          <w:spacing w:val="-2"/>
          <w:lang w:val="pt-BR"/>
        </w:rPr>
        <w:t>Huân chương Lao động hạng nhất</w:t>
      </w:r>
      <w:r w:rsidR="004273BC">
        <w:rPr>
          <w:spacing w:val="-2"/>
          <w:lang w:val="pt-BR"/>
        </w:rPr>
        <w:t>: HSSV đoạt Huy chương Vàng thế giới</w:t>
      </w:r>
      <w:r w:rsidR="00644ED9">
        <w:rPr>
          <w:spacing w:val="-2"/>
          <w:lang w:val="pt-BR"/>
        </w:rPr>
        <w:t>;</w:t>
      </w:r>
    </w:p>
    <w:p w:rsidR="00C4647C" w:rsidRDefault="007A07A7" w:rsidP="004273BC">
      <w:pPr>
        <w:spacing w:before="60" w:after="60"/>
        <w:ind w:firstLine="720"/>
        <w:jc w:val="both"/>
        <w:rPr>
          <w:szCs w:val="28"/>
        </w:rPr>
      </w:pPr>
      <w:r>
        <w:rPr>
          <w:szCs w:val="28"/>
        </w:rPr>
        <w:t>b)</w:t>
      </w:r>
      <w:r w:rsidR="004273BC">
        <w:rPr>
          <w:szCs w:val="28"/>
        </w:rPr>
        <w:t xml:space="preserve"> Huân chương Lao động hạng nhì: </w:t>
      </w:r>
      <w:r w:rsidR="00B45245">
        <w:rPr>
          <w:szCs w:val="28"/>
        </w:rPr>
        <w:t xml:space="preserve">HSSV </w:t>
      </w:r>
      <w:r w:rsidR="00B45245">
        <w:rPr>
          <w:spacing w:val="-2"/>
          <w:lang w:val="pt-BR"/>
        </w:rPr>
        <w:t>đ</w:t>
      </w:r>
      <w:r w:rsidR="004273BC">
        <w:rPr>
          <w:spacing w:val="-2"/>
          <w:lang w:val="pt-BR"/>
        </w:rPr>
        <w:t xml:space="preserve">oạt Huy chương Bạc tại kỳ thi tay nghề thế giới hoặc </w:t>
      </w:r>
      <w:r w:rsidR="004273BC">
        <w:rPr>
          <w:szCs w:val="28"/>
        </w:rPr>
        <w:t>Đoạt Huy chương Vàng kỳ thi tay nghề châu Á và Huy chương Vàng kỳ thi tay nghề Đông Nam Á</w:t>
      </w:r>
      <w:r w:rsidR="00644ED9">
        <w:rPr>
          <w:szCs w:val="28"/>
        </w:rPr>
        <w:t>;</w:t>
      </w:r>
    </w:p>
    <w:p w:rsidR="004273BC" w:rsidRDefault="007A07A7" w:rsidP="004273BC">
      <w:pPr>
        <w:spacing w:before="60" w:after="60"/>
        <w:ind w:firstLine="720"/>
        <w:jc w:val="both"/>
        <w:rPr>
          <w:spacing w:val="-2"/>
          <w:lang w:val="pt-BR"/>
        </w:rPr>
      </w:pPr>
      <w:r>
        <w:rPr>
          <w:szCs w:val="28"/>
        </w:rPr>
        <w:t>c)</w:t>
      </w:r>
      <w:r w:rsidR="004273BC">
        <w:rPr>
          <w:szCs w:val="28"/>
        </w:rPr>
        <w:t xml:space="preserve"> Huân chương Lao động hạng ba: </w:t>
      </w:r>
      <w:r w:rsidR="00B45245">
        <w:rPr>
          <w:szCs w:val="28"/>
        </w:rPr>
        <w:t xml:space="preserve">HSSV </w:t>
      </w:r>
      <w:r w:rsidR="00B45245">
        <w:rPr>
          <w:spacing w:val="-2"/>
          <w:lang w:val="pt-BR"/>
        </w:rPr>
        <w:t>đ</w:t>
      </w:r>
      <w:r w:rsidR="004273BC">
        <w:rPr>
          <w:spacing w:val="-2"/>
          <w:lang w:val="pt-BR"/>
        </w:rPr>
        <w:t>oạt Huy chương Đồng tại kỳ thi tay nghề thế giới hoặc đoạt Huy chương Bạc tại kỳ thi tay nghề châu Á và Huy chương Vàng tại kỳ thi Đông Nam Á</w:t>
      </w:r>
      <w:r w:rsidR="00644ED9">
        <w:rPr>
          <w:spacing w:val="-2"/>
          <w:lang w:val="pt-BR"/>
        </w:rPr>
        <w:t>;</w:t>
      </w:r>
    </w:p>
    <w:p w:rsidR="004273BC" w:rsidRDefault="007A07A7" w:rsidP="004273BC">
      <w:pPr>
        <w:spacing w:before="60" w:after="60"/>
        <w:ind w:firstLine="720"/>
        <w:jc w:val="both"/>
        <w:rPr>
          <w:spacing w:val="-2"/>
          <w:lang w:val="pt-BR"/>
        </w:rPr>
      </w:pPr>
      <w:r>
        <w:rPr>
          <w:spacing w:val="-2"/>
          <w:lang w:val="pt-BR"/>
        </w:rPr>
        <w:t>d)</w:t>
      </w:r>
      <w:r w:rsidR="004273BC">
        <w:rPr>
          <w:spacing w:val="-2"/>
          <w:lang w:val="pt-BR"/>
        </w:rPr>
        <w:t xml:space="preserve"> Bằng khen Thủ tướng Chính phủ tặng cho HSSV đạt một trong các thành tích sau:</w:t>
      </w:r>
    </w:p>
    <w:p w:rsidR="004273BC" w:rsidRDefault="007A07A7" w:rsidP="008865B3">
      <w:pPr>
        <w:spacing w:before="60" w:after="60"/>
        <w:ind w:firstLine="720"/>
        <w:rPr>
          <w:spacing w:val="-2"/>
          <w:lang w:val="pt-BR"/>
        </w:rPr>
      </w:pPr>
      <w:r>
        <w:rPr>
          <w:spacing w:val="-2"/>
          <w:lang w:val="pt-BR"/>
        </w:rPr>
        <w:t>-</w:t>
      </w:r>
      <w:r w:rsidR="004273BC">
        <w:rPr>
          <w:spacing w:val="-2"/>
          <w:lang w:val="pt-BR"/>
        </w:rPr>
        <w:t xml:space="preserve"> Đoạt Huy chương Đồng kỳ thi tay nghề châu Á</w:t>
      </w:r>
      <w:r w:rsidR="00644ED9">
        <w:rPr>
          <w:spacing w:val="-2"/>
          <w:lang w:val="pt-BR"/>
        </w:rPr>
        <w:t>;</w:t>
      </w:r>
    </w:p>
    <w:p w:rsidR="004273BC" w:rsidRDefault="007A07A7" w:rsidP="008865B3">
      <w:pPr>
        <w:spacing w:before="60" w:after="60"/>
        <w:ind w:firstLine="720"/>
        <w:rPr>
          <w:spacing w:val="-2"/>
          <w:lang w:val="pt-BR"/>
        </w:rPr>
      </w:pPr>
      <w:r>
        <w:rPr>
          <w:spacing w:val="-2"/>
          <w:lang w:val="pt-BR"/>
        </w:rPr>
        <w:t>-</w:t>
      </w:r>
      <w:r w:rsidR="004273BC">
        <w:rPr>
          <w:spacing w:val="-2"/>
          <w:lang w:val="pt-BR"/>
        </w:rPr>
        <w:t xml:space="preserve"> Đoạt Huy chương Vàng kỳ thi tay nghề Đông Nam Á</w:t>
      </w:r>
      <w:r w:rsidR="00644ED9">
        <w:rPr>
          <w:spacing w:val="-2"/>
          <w:lang w:val="pt-BR"/>
        </w:rPr>
        <w:t>;</w:t>
      </w:r>
    </w:p>
    <w:p w:rsidR="004273BC" w:rsidRDefault="007A07A7" w:rsidP="004273BC">
      <w:pPr>
        <w:spacing w:before="60" w:after="60"/>
        <w:ind w:firstLine="720"/>
        <w:jc w:val="both"/>
        <w:rPr>
          <w:spacing w:val="-2"/>
          <w:lang w:val="pt-BR"/>
        </w:rPr>
      </w:pPr>
      <w:r>
        <w:rPr>
          <w:spacing w:val="-2"/>
          <w:lang w:val="pt-BR"/>
        </w:rPr>
        <w:t>-</w:t>
      </w:r>
      <w:r w:rsidR="004273BC">
        <w:rPr>
          <w:spacing w:val="-2"/>
          <w:lang w:val="pt-BR"/>
        </w:rPr>
        <w:t xml:space="preserve"> Đoạt Huy chương Vàng hoặc Huy chương Đồng tại kỳ thi tay nghề Đông Nam Á và chứng chỉ kỹ năng nghề xuất sắc tại kỳ thi tay nghề châu Á hoặc thế giới</w:t>
      </w:r>
      <w:r w:rsidR="008865B3">
        <w:rPr>
          <w:spacing w:val="-2"/>
          <w:lang w:val="pt-BR"/>
        </w:rPr>
        <w:t>.</w:t>
      </w:r>
    </w:p>
    <w:p w:rsidR="008865B3" w:rsidRDefault="007A07A7" w:rsidP="004273BC">
      <w:pPr>
        <w:spacing w:before="60" w:after="60"/>
        <w:ind w:firstLine="720"/>
        <w:jc w:val="both"/>
        <w:rPr>
          <w:spacing w:val="-2"/>
          <w:lang w:val="pt-BR"/>
        </w:rPr>
      </w:pPr>
      <w:r>
        <w:rPr>
          <w:spacing w:val="-2"/>
          <w:lang w:val="pt-BR"/>
        </w:rPr>
        <w:t>đ)</w:t>
      </w:r>
      <w:r w:rsidR="008865B3">
        <w:rPr>
          <w:spacing w:val="-2"/>
          <w:lang w:val="pt-BR"/>
        </w:rPr>
        <w:t xml:space="preserve"> Bằng khen Bộ trưởng tặng cho những thí sinh còn lại đoạt giải cao trong các kỳ thi tay nghề quốc gia và Đông Nam Á.</w:t>
      </w:r>
    </w:p>
    <w:p w:rsidR="0005073E" w:rsidRDefault="007A07A7" w:rsidP="008865B3">
      <w:pPr>
        <w:spacing w:before="60" w:after="60"/>
        <w:jc w:val="both"/>
        <w:rPr>
          <w:spacing w:val="-2"/>
          <w:lang w:val="pt-BR"/>
        </w:rPr>
      </w:pPr>
      <w:r>
        <w:rPr>
          <w:spacing w:val="-2"/>
          <w:lang w:val="pt-BR"/>
        </w:rPr>
        <w:tab/>
        <w:t>4.2.3</w:t>
      </w:r>
      <w:r w:rsidR="008865B3">
        <w:rPr>
          <w:spacing w:val="-2"/>
          <w:lang w:val="pt-BR"/>
        </w:rPr>
        <w:t xml:space="preserve"> </w:t>
      </w:r>
      <w:r w:rsidR="0005073E">
        <w:rPr>
          <w:spacing w:val="-2"/>
          <w:lang w:val="pt-BR"/>
        </w:rPr>
        <w:t>Ý kiến của Bộ Giáo dục và Đào tạo</w:t>
      </w:r>
    </w:p>
    <w:p w:rsidR="004273BC" w:rsidRDefault="007A07A7" w:rsidP="008865B3">
      <w:pPr>
        <w:spacing w:before="60" w:after="60"/>
        <w:jc w:val="both"/>
        <w:rPr>
          <w:spacing w:val="-2"/>
          <w:lang w:val="pt-BR"/>
        </w:rPr>
      </w:pPr>
      <w:r>
        <w:rPr>
          <w:spacing w:val="-2"/>
          <w:lang w:val="pt-BR"/>
        </w:rPr>
        <w:tab/>
        <w:t>a)</w:t>
      </w:r>
      <w:r w:rsidR="0005073E">
        <w:rPr>
          <w:spacing w:val="-2"/>
          <w:lang w:val="pt-BR"/>
        </w:rPr>
        <w:t xml:space="preserve"> Do đặc thù của quy định thi tay nghề thí sinh chỉ được dự thi </w:t>
      </w:r>
      <w:r w:rsidR="00B45245">
        <w:rPr>
          <w:spacing w:val="-2"/>
          <w:lang w:val="pt-BR"/>
        </w:rPr>
        <w:t>0</w:t>
      </w:r>
      <w:r w:rsidR="0005073E">
        <w:rPr>
          <w:spacing w:val="-2"/>
          <w:lang w:val="pt-BR"/>
        </w:rPr>
        <w:t>1 lần ở mỗi cấp độ nên Bộ Giáo dục và Đào tạo tiếp thu ý kiến của Bộ Lao động - Thương binh và Xã hội đối với việc khen thưởng HSSV có thành tích đặc biệt xuất sắc được tặng thưởng Huân chương Lao động hạng nhất (</w:t>
      </w:r>
      <w:r>
        <w:rPr>
          <w:spacing w:val="-2"/>
          <w:lang w:val="pt-BR"/>
        </w:rPr>
        <w:t xml:space="preserve">tặng thưởng Huân chương Lao động hạng nhất </w:t>
      </w:r>
      <w:r w:rsidR="0005073E">
        <w:rPr>
          <w:spacing w:val="-2"/>
          <w:lang w:val="pt-BR"/>
        </w:rPr>
        <w:t>đối với HSSV</w:t>
      </w:r>
      <w:r>
        <w:rPr>
          <w:spacing w:val="-2"/>
          <w:lang w:val="pt-BR"/>
        </w:rPr>
        <w:t xml:space="preserve"> đoạ</w:t>
      </w:r>
      <w:r w:rsidR="0068740F">
        <w:rPr>
          <w:spacing w:val="-2"/>
          <w:lang w:val="pt-BR"/>
        </w:rPr>
        <w:t>t</w:t>
      </w:r>
      <w:r>
        <w:rPr>
          <w:spacing w:val="-2"/>
          <w:lang w:val="pt-BR"/>
        </w:rPr>
        <w:t xml:space="preserve"> Huy chương Vàng </w:t>
      </w:r>
      <w:r w:rsidR="0068740F">
        <w:rPr>
          <w:spacing w:val="-2"/>
          <w:lang w:val="pt-BR"/>
        </w:rPr>
        <w:t xml:space="preserve">kỳ </w:t>
      </w:r>
      <w:r>
        <w:rPr>
          <w:spacing w:val="-2"/>
          <w:lang w:val="pt-BR"/>
        </w:rPr>
        <w:t xml:space="preserve">thi tay nghề </w:t>
      </w:r>
      <w:r w:rsidR="0068740F">
        <w:rPr>
          <w:spacing w:val="-2"/>
          <w:lang w:val="pt-BR"/>
        </w:rPr>
        <w:t xml:space="preserve">châu Á và Huy chương Vàng kỳ thi tay nghề </w:t>
      </w:r>
      <w:r>
        <w:rPr>
          <w:spacing w:val="-2"/>
          <w:lang w:val="pt-BR"/>
        </w:rPr>
        <w:t>thế giớ</w:t>
      </w:r>
      <w:r w:rsidR="00644ED9">
        <w:rPr>
          <w:spacing w:val="-2"/>
          <w:lang w:val="pt-BR"/>
        </w:rPr>
        <w:t>i);</w:t>
      </w:r>
    </w:p>
    <w:p w:rsidR="007A07A7" w:rsidRDefault="007A07A7" w:rsidP="008865B3">
      <w:pPr>
        <w:spacing w:before="60" w:after="60"/>
        <w:jc w:val="both"/>
        <w:rPr>
          <w:spacing w:val="-2"/>
          <w:lang w:val="pt-BR"/>
        </w:rPr>
      </w:pPr>
      <w:r>
        <w:rPr>
          <w:spacing w:val="-2"/>
          <w:lang w:val="pt-BR"/>
        </w:rPr>
        <w:tab/>
        <w:t>b) Đối với các hình thức khen thưởng Huân chương Lao động hạng nh</w:t>
      </w:r>
      <w:r w:rsidR="00130D80">
        <w:rPr>
          <w:spacing w:val="-2"/>
          <w:lang w:val="pt-BR"/>
        </w:rPr>
        <w:t>ì</w:t>
      </w:r>
      <w:r>
        <w:rPr>
          <w:spacing w:val="-2"/>
          <w:lang w:val="pt-BR"/>
        </w:rPr>
        <w:t>, hạng ba và Bằng khen Thủ tướng Chính phủ, Bộ Giáo dục và Đào tạo bảo lưu ý kiến xây dựng tiêu chuẩn khen thưởng của 3 đối tượng gồm HSSV đoạt giải Olympic môn học, thi nghiên cứu khoa học kỹ thuật và thi tay nghề như nhau vì</w:t>
      </w:r>
      <w:r w:rsidR="00130D80">
        <w:rPr>
          <w:spacing w:val="-2"/>
          <w:lang w:val="pt-BR"/>
        </w:rPr>
        <w:t>:</w:t>
      </w:r>
      <w:r>
        <w:rPr>
          <w:spacing w:val="-2"/>
          <w:lang w:val="pt-BR"/>
        </w:rPr>
        <w:tab/>
        <w:t xml:space="preserve">- </w:t>
      </w:r>
      <w:r w:rsidR="00130D80">
        <w:rPr>
          <w:spacing w:val="-2"/>
          <w:lang w:val="pt-BR"/>
        </w:rPr>
        <w:t>Quyết định số 158/2002/QĐ-TTg của Thủ tướng Chính phủ quy định hình thức và tiêu chuẩn khen thưởng của HSSV đoạt giải Olympic các môn học và thi tay nghề là như nhau không phân biệt đối tượng và tiêu chuẩn</w:t>
      </w:r>
      <w:r w:rsidR="00FD0C3E">
        <w:rPr>
          <w:spacing w:val="-2"/>
          <w:lang w:val="pt-BR"/>
        </w:rPr>
        <w:t>.</w:t>
      </w:r>
    </w:p>
    <w:p w:rsidR="00130D80" w:rsidRDefault="00130D80" w:rsidP="008865B3">
      <w:pPr>
        <w:spacing w:before="60" w:after="60"/>
        <w:jc w:val="both"/>
        <w:rPr>
          <w:spacing w:val="-2"/>
          <w:lang w:val="pt-BR"/>
        </w:rPr>
      </w:pPr>
      <w:r>
        <w:rPr>
          <w:spacing w:val="-2"/>
          <w:lang w:val="pt-BR"/>
        </w:rPr>
        <w:tab/>
        <w:t>- Để đạt được giải cao tại các kỳ thi quốc tế HSSV thi</w:t>
      </w:r>
      <w:r w:rsidRPr="00130D80">
        <w:rPr>
          <w:spacing w:val="-2"/>
          <w:lang w:val="pt-BR"/>
        </w:rPr>
        <w:t xml:space="preserve"> </w:t>
      </w:r>
      <w:r>
        <w:rPr>
          <w:spacing w:val="-2"/>
          <w:lang w:val="pt-BR"/>
        </w:rPr>
        <w:t>Olympic môn học, thi nghiên cứu khoa học kỹ thuật và thi tay nghề đều phải có quá trình học tập, rèn luyện tích lũy kiến thức và kỹ</w:t>
      </w:r>
      <w:r w:rsidR="00E35010">
        <w:rPr>
          <w:spacing w:val="-2"/>
          <w:lang w:val="pt-BR"/>
        </w:rPr>
        <w:t xml:space="preserve"> năng như nhau, khi dự thi</w:t>
      </w:r>
      <w:r>
        <w:rPr>
          <w:spacing w:val="-2"/>
          <w:lang w:val="pt-BR"/>
        </w:rPr>
        <w:t xml:space="preserve"> các môn học và thi nghiên cứu khoa học kỹ thuật ngoài phần thi lý thuyết, HSSV đều phải trải qua phần thi thực hành như thi tay nghề</w:t>
      </w:r>
      <w:r w:rsidR="00FD0C3E">
        <w:rPr>
          <w:spacing w:val="-2"/>
          <w:lang w:val="pt-BR"/>
        </w:rPr>
        <w:t xml:space="preserve"> (thiết kế thí nghiệm, thực hiện, phân tích và báo cáo thí nghiệm)</w:t>
      </w:r>
      <w:r>
        <w:rPr>
          <w:spacing w:val="-2"/>
          <w:lang w:val="pt-BR"/>
        </w:rPr>
        <w:t>.</w:t>
      </w:r>
    </w:p>
    <w:p w:rsidR="00130D80" w:rsidRDefault="00130D80" w:rsidP="008865B3">
      <w:pPr>
        <w:spacing w:before="60" w:after="60"/>
        <w:jc w:val="both"/>
        <w:rPr>
          <w:spacing w:val="-2"/>
          <w:lang w:val="pt-BR"/>
        </w:rPr>
      </w:pPr>
      <w:r>
        <w:rPr>
          <w:spacing w:val="-2"/>
          <w:lang w:val="pt-BR"/>
        </w:rPr>
        <w:lastRenderedPageBreak/>
        <w:tab/>
        <w:t>- Việt Nam tham dự thi Olympic các môn học từ năm 1958 và bắt đầu từ</w:t>
      </w:r>
      <w:r w:rsidR="00E82C73">
        <w:rPr>
          <w:spacing w:val="-2"/>
          <w:lang w:val="pt-BR"/>
        </w:rPr>
        <w:t xml:space="preserve"> năm 1974 mới đ</w:t>
      </w:r>
      <w:r w:rsidR="00FD0C3E">
        <w:rPr>
          <w:spacing w:val="-2"/>
          <w:lang w:val="pt-BR"/>
        </w:rPr>
        <w:t>o</w:t>
      </w:r>
      <w:r w:rsidR="00E82C73">
        <w:rPr>
          <w:spacing w:val="-2"/>
          <w:lang w:val="pt-BR"/>
        </w:rPr>
        <w:t xml:space="preserve">ạt Huy chương và 10 năm gần đây mới </w:t>
      </w:r>
      <w:r w:rsidR="00E35010">
        <w:rPr>
          <w:spacing w:val="-2"/>
          <w:lang w:val="pt-BR"/>
        </w:rPr>
        <w:t xml:space="preserve">có học sinh </w:t>
      </w:r>
      <w:r w:rsidR="00E82C73">
        <w:rPr>
          <w:spacing w:val="-2"/>
          <w:lang w:val="pt-BR"/>
        </w:rPr>
        <w:t>đ</w:t>
      </w:r>
      <w:r w:rsidR="00FD0C3E">
        <w:rPr>
          <w:spacing w:val="-2"/>
          <w:lang w:val="pt-BR"/>
        </w:rPr>
        <w:t>o</w:t>
      </w:r>
      <w:r w:rsidR="00E82C73">
        <w:rPr>
          <w:spacing w:val="-2"/>
          <w:lang w:val="pt-BR"/>
        </w:rPr>
        <w:t xml:space="preserve">ạt </w:t>
      </w:r>
      <w:r w:rsidR="00E35010">
        <w:rPr>
          <w:spacing w:val="-2"/>
          <w:lang w:val="pt-BR"/>
        </w:rPr>
        <w:t>Huy chương Vàng, Huy chương Bạc thế giới đủ tiêu chuẩn tặng Huân chương Lao động hạng nhất và hạng nhì</w:t>
      </w:r>
      <w:r w:rsidR="00FD0C3E">
        <w:rPr>
          <w:spacing w:val="-2"/>
          <w:lang w:val="pt-BR"/>
        </w:rPr>
        <w:t>.</w:t>
      </w:r>
    </w:p>
    <w:p w:rsidR="00FD0C3E" w:rsidRDefault="00E35010" w:rsidP="008865B3">
      <w:pPr>
        <w:spacing w:before="60" w:after="60"/>
        <w:jc w:val="both"/>
        <w:rPr>
          <w:spacing w:val="-2"/>
          <w:lang w:val="pt-BR"/>
        </w:rPr>
      </w:pPr>
      <w:r>
        <w:rPr>
          <w:spacing w:val="-2"/>
          <w:lang w:val="pt-BR"/>
        </w:rPr>
        <w:tab/>
        <w:t>- Đối với học sinh dự thi nghiên cứu khoa học</w:t>
      </w:r>
      <w:r w:rsidR="00FD0C3E">
        <w:rPr>
          <w:spacing w:val="-2"/>
          <w:lang w:val="pt-BR"/>
        </w:rPr>
        <w:t xml:space="preserve"> kỹ thuật</w:t>
      </w:r>
      <w:r>
        <w:rPr>
          <w:spacing w:val="-2"/>
          <w:lang w:val="pt-BR"/>
        </w:rPr>
        <w:t xml:space="preserve"> </w:t>
      </w:r>
      <w:r w:rsidR="00FD0C3E">
        <w:rPr>
          <w:spacing w:val="-2"/>
          <w:lang w:val="pt-BR"/>
        </w:rPr>
        <w:t xml:space="preserve">và thi tay nghề </w:t>
      </w:r>
      <w:r>
        <w:rPr>
          <w:spacing w:val="-2"/>
          <w:lang w:val="pt-BR"/>
        </w:rPr>
        <w:t>thế giới, học sinh Việt Nam mới tham dự</w:t>
      </w:r>
      <w:r w:rsidR="00FD0C3E">
        <w:rPr>
          <w:spacing w:val="-2"/>
          <w:lang w:val="pt-BR"/>
        </w:rPr>
        <w:t xml:space="preserve"> khoảng 10 năm</w:t>
      </w:r>
      <w:r>
        <w:rPr>
          <w:spacing w:val="-2"/>
          <w:lang w:val="pt-BR"/>
        </w:rPr>
        <w:t>, kết quả đạt được còn khiêm tốn mới có học sinh đoạt Huy chương Đồng và giải khuyến khích thế giới vì vậy mức khen thưởng cao nhất mà học sinh đạt được theo quy định tại dự thảo Nghị định là Bằng khen Thủ tướng. Các học sinh</w:t>
      </w:r>
      <w:r w:rsidR="00FD0C3E">
        <w:rPr>
          <w:spacing w:val="-2"/>
          <w:lang w:val="pt-BR"/>
        </w:rPr>
        <w:t xml:space="preserve"> thuộc đối tượng trên cần tiếp tục phấn đấu để đạt được thành tích cao hơn ttrong các kỳ thi tiếp theo.</w:t>
      </w:r>
    </w:p>
    <w:p w:rsidR="00E35010" w:rsidRDefault="00E35010" w:rsidP="008865B3">
      <w:pPr>
        <w:spacing w:before="60" w:after="60"/>
        <w:jc w:val="both"/>
        <w:rPr>
          <w:spacing w:val="-2"/>
          <w:lang w:val="pt-BR"/>
        </w:rPr>
      </w:pPr>
      <w:r>
        <w:rPr>
          <w:spacing w:val="-2"/>
          <w:lang w:val="pt-BR"/>
        </w:rPr>
        <w:tab/>
        <w:t>Bộ Giáo dục và Đào tạo đề nghị giữ nguyên tiêu chuẩn khen thưởng HSSV như dự thảo đã đăng tải trên Cổng Thông tin điện tử Chính phủ và Báo Giáo dục và Thời đại</w:t>
      </w:r>
      <w:r w:rsidR="004B40B1">
        <w:rPr>
          <w:spacing w:val="-2"/>
          <w:lang w:val="pt-BR"/>
        </w:rPr>
        <w:t xml:space="preserve"> vì khen thưởng </w:t>
      </w:r>
      <w:r w:rsidR="00FD0C3E">
        <w:rPr>
          <w:spacing w:val="-2"/>
          <w:lang w:val="pt-BR"/>
        </w:rPr>
        <w:t>cấp nhà nước mới chỉ là điểm khởi đầu</w:t>
      </w:r>
      <w:r w:rsidR="00DA3C14">
        <w:rPr>
          <w:spacing w:val="-2"/>
          <w:lang w:val="pt-BR"/>
        </w:rPr>
        <w:t xml:space="preserve"> đối</w:t>
      </w:r>
      <w:r w:rsidR="00FD0C3E">
        <w:rPr>
          <w:spacing w:val="-2"/>
          <w:lang w:val="pt-BR"/>
        </w:rPr>
        <w:t xml:space="preserve"> với HSSV</w:t>
      </w:r>
      <w:r w:rsidR="00DA3C14">
        <w:rPr>
          <w:spacing w:val="-2"/>
          <w:lang w:val="pt-BR"/>
        </w:rPr>
        <w:t>, sự nghiệp các em còn dài</w:t>
      </w:r>
      <w:r w:rsidR="00FD0C3E">
        <w:rPr>
          <w:spacing w:val="-2"/>
          <w:lang w:val="pt-BR"/>
        </w:rPr>
        <w:t xml:space="preserve"> </w:t>
      </w:r>
      <w:r w:rsidR="00DA3C14">
        <w:rPr>
          <w:spacing w:val="-2"/>
          <w:lang w:val="pt-BR"/>
        </w:rPr>
        <w:t>ở phía trước và đòi hỏi các em phải tiếp tục phấn đấu.</w:t>
      </w:r>
      <w:r w:rsidR="0068740F">
        <w:rPr>
          <w:spacing w:val="-2"/>
          <w:lang w:val="pt-BR"/>
        </w:rPr>
        <w:t xml:space="preserve"> Đề nghị này đã được các Thành viên Chính phủ thông qua, nhiều địa phương đã nhất trí, Chính phủ đã ban hành Nghị quyết số 105/NQ-CP ngày 14/8/2018. </w:t>
      </w:r>
    </w:p>
    <w:p w:rsidR="004B40B1" w:rsidRDefault="00E35010" w:rsidP="008865B3">
      <w:pPr>
        <w:spacing w:before="60" w:after="60"/>
        <w:jc w:val="both"/>
        <w:rPr>
          <w:spacing w:val="-2"/>
          <w:lang w:val="pt-BR"/>
        </w:rPr>
      </w:pPr>
      <w:r>
        <w:rPr>
          <w:spacing w:val="-2"/>
          <w:lang w:val="pt-BR"/>
        </w:rPr>
        <w:tab/>
        <w:t>4.2.4 Bộ Tài chính có ý kiến</w:t>
      </w:r>
    </w:p>
    <w:p w:rsidR="00CB6CDB" w:rsidRDefault="00CB6CDB" w:rsidP="004B40B1">
      <w:pPr>
        <w:spacing w:before="60" w:after="60"/>
        <w:ind w:firstLine="720"/>
        <w:jc w:val="both"/>
        <w:rPr>
          <w:spacing w:val="-2"/>
          <w:lang w:val="pt-BR"/>
        </w:rPr>
      </w:pPr>
      <w:r>
        <w:rPr>
          <w:spacing w:val="-2"/>
          <w:lang w:val="pt-BR"/>
        </w:rPr>
        <w:t>Tại dự thảo Bộ Giáo dục và Đào tạo đề xuất hình thức khen thưởng cao nhất là Huân chương Lao động hạng nhất, đây là sự thay đổi rất lớn so với hình thức khen thưởng hiện nay là Bằng khen Thủ tướng Chính phủ. Tuy nhiên Bộ Giáo dục và Đào tạo chưa thuyết minh rõ lý do của việc đề xuất hình thức khen thưởng trong mối tương quan với các hình thức khen thưởng cá nhân khác của ngành Giáo dục và giữa ngành Giáo dục với các ngành khác. Vì vậy, đề nghị Bộ Giáo dục và Đào tạo lấy ý kiến thống nhất của Bộ Nội vụ để đảm bảo việc quy định hình thức khen thưởng HSSV tương đồng với các hình thức và tiêu chuẩn khen thưởng cá nhân hiện hành.</w:t>
      </w:r>
    </w:p>
    <w:p w:rsidR="00130D80" w:rsidRDefault="004B40B1" w:rsidP="008865B3">
      <w:pPr>
        <w:spacing w:before="60" w:after="60"/>
        <w:jc w:val="both"/>
        <w:rPr>
          <w:spacing w:val="-2"/>
          <w:lang w:val="pt-BR"/>
        </w:rPr>
      </w:pPr>
      <w:r>
        <w:rPr>
          <w:spacing w:val="-2"/>
          <w:lang w:val="pt-BR"/>
        </w:rPr>
        <w:tab/>
      </w:r>
      <w:r w:rsidR="00CB6CDB">
        <w:rPr>
          <w:spacing w:val="-2"/>
          <w:lang w:val="pt-BR"/>
        </w:rPr>
        <w:t xml:space="preserve"> </w:t>
      </w:r>
      <w:r w:rsidR="00DA3C14">
        <w:rPr>
          <w:spacing w:val="-2"/>
          <w:lang w:val="pt-BR"/>
        </w:rPr>
        <w:t>Việc đề xuất hình thức khen thưở</w:t>
      </w:r>
      <w:r w:rsidR="00694731">
        <w:rPr>
          <w:spacing w:val="-2"/>
          <w:lang w:val="pt-BR"/>
        </w:rPr>
        <w:t>ng Huân chương L</w:t>
      </w:r>
      <w:r w:rsidR="00DA3C14">
        <w:rPr>
          <w:spacing w:val="-2"/>
          <w:lang w:val="pt-BR"/>
        </w:rPr>
        <w:t xml:space="preserve">ao động hạng nhất, nhì, ba là phù hợp với quy định tại  </w:t>
      </w:r>
      <w:r w:rsidR="00DA3C14" w:rsidRPr="001A61C4">
        <w:rPr>
          <w:szCs w:val="28"/>
        </w:rPr>
        <w:t xml:space="preserve">Điều 22, 23, 24 Nghị định số 91/2017/NĐ-CP </w:t>
      </w:r>
      <w:r w:rsidR="00DA3C14" w:rsidRPr="001A61C4">
        <w:rPr>
          <w:szCs w:val="28"/>
          <w:lang w:val="nl-NL"/>
        </w:rPr>
        <w:t xml:space="preserve">(về </w:t>
      </w:r>
      <w:r w:rsidR="00DA3C14" w:rsidRPr="001A61C4">
        <w:rPr>
          <w:szCs w:val="28"/>
        </w:rPr>
        <w:t xml:space="preserve">thành tích đặc biệt xuất sắc đột xuất, </w:t>
      </w:r>
      <w:r w:rsidR="00DA3C14" w:rsidRPr="0068740F">
        <w:rPr>
          <w:i/>
          <w:szCs w:val="28"/>
        </w:rPr>
        <w:t>được giải thưởng cao ở khu vực hoặc thế giới</w:t>
      </w:r>
      <w:r w:rsidR="00DA3C14">
        <w:rPr>
          <w:szCs w:val="28"/>
        </w:rPr>
        <w:t>).</w:t>
      </w:r>
      <w:r w:rsidR="00DA3C14" w:rsidRPr="001A61C4">
        <w:rPr>
          <w:szCs w:val="28"/>
        </w:rPr>
        <w:t xml:space="preserve"> </w:t>
      </w:r>
      <w:r w:rsidR="00CB6CDB">
        <w:rPr>
          <w:spacing w:val="-2"/>
          <w:lang w:val="pt-BR"/>
        </w:rPr>
        <w:t>Khi thành lập Ban soạn thảo Nghị</w:t>
      </w:r>
      <w:r w:rsidR="00DA3C14">
        <w:rPr>
          <w:spacing w:val="-2"/>
          <w:lang w:val="pt-BR"/>
        </w:rPr>
        <w:t xml:space="preserve"> định</w:t>
      </w:r>
      <w:r w:rsidR="00CB6CDB">
        <w:rPr>
          <w:spacing w:val="-2"/>
          <w:lang w:val="pt-BR"/>
        </w:rPr>
        <w:t>, Bộ Giáo dục và Đào tạo đã mời Bộ Nội vụ (Ban Thi đua - Khen thưởng Trung ương)</w:t>
      </w:r>
      <w:r>
        <w:rPr>
          <w:spacing w:val="-2"/>
          <w:lang w:val="pt-BR"/>
        </w:rPr>
        <w:t xml:space="preserve"> tham gia và cùng xây dựng nội dung dự thảo. Bộ đã có Công văn xin ý kiến góp ý của Bộ Nội vụ. Ngày 24/10/2018 Ban Thi đua - Khen thưởng Trung ương đã có Công văn số 2573/BTĐKT-VI góp ý xây dựng Nghị định và nhất trí với Bộ Giáo dục và Đào tạo về hình thức khen thưởng. </w:t>
      </w:r>
    </w:p>
    <w:p w:rsidR="00BD2F6F" w:rsidRPr="00DA3C14" w:rsidRDefault="004B40B1" w:rsidP="00DA3C14">
      <w:pPr>
        <w:spacing w:before="60" w:after="60"/>
        <w:jc w:val="both"/>
        <w:rPr>
          <w:spacing w:val="-2"/>
          <w:lang w:val="pt-BR"/>
        </w:rPr>
      </w:pPr>
      <w:r>
        <w:rPr>
          <w:spacing w:val="-2"/>
          <w:lang w:val="pt-BR"/>
        </w:rPr>
        <w:tab/>
      </w:r>
      <w:r w:rsidR="00DB49DC">
        <w:rPr>
          <w:spacing w:val="-2"/>
          <w:lang w:val="pt-BR"/>
        </w:rPr>
        <w:t xml:space="preserve"> </w:t>
      </w:r>
      <w:r w:rsidR="00107D91">
        <w:rPr>
          <w:szCs w:val="28"/>
        </w:rPr>
        <w:t>6</w:t>
      </w:r>
      <w:r w:rsidR="00BD2F6F">
        <w:rPr>
          <w:szCs w:val="28"/>
        </w:rPr>
        <w:t>. Về mức thưởng</w:t>
      </w:r>
    </w:p>
    <w:p w:rsidR="00BD2F6F" w:rsidRDefault="00BD2F6F" w:rsidP="003F4CE9">
      <w:pPr>
        <w:spacing w:before="40" w:after="40" w:line="340" w:lineRule="exact"/>
        <w:ind w:firstLine="720"/>
        <w:jc w:val="both"/>
        <w:rPr>
          <w:szCs w:val="28"/>
        </w:rPr>
      </w:pPr>
      <w:r>
        <w:rPr>
          <w:szCs w:val="28"/>
        </w:rPr>
        <w:t>a) Ban Thi đua - Khen thưởng Trung ương</w:t>
      </w:r>
      <w:r w:rsidR="00156E3D">
        <w:rPr>
          <w:szCs w:val="28"/>
        </w:rPr>
        <w:t xml:space="preserve"> và Sở</w:t>
      </w:r>
      <w:r w:rsidR="00B67DFE">
        <w:rPr>
          <w:szCs w:val="28"/>
        </w:rPr>
        <w:t xml:space="preserve"> Giáo</w:t>
      </w:r>
      <w:r w:rsidR="00156E3D">
        <w:rPr>
          <w:szCs w:val="28"/>
        </w:rPr>
        <w:t xml:space="preserve"> dục và Đào tạo tỉnh Sơn La</w:t>
      </w:r>
      <w:r>
        <w:rPr>
          <w:szCs w:val="28"/>
        </w:rPr>
        <w:t xml:space="preserve"> có ý kiến: Tại Khoản 6 Điều 4 đề nghị sửa theo hướng HSSV được </w:t>
      </w:r>
      <w:r>
        <w:rPr>
          <w:szCs w:val="28"/>
        </w:rPr>
        <w:lastRenderedPageBreak/>
        <w:t>tặng các hình thức khen thưởng theo quy định thì được nhận tiền thưởng theo quy định tại Nghị định số 91/2017/NĐ-CP và tiền thưởng theo quy định tại Nghị định này</w:t>
      </w:r>
      <w:r w:rsidR="00644ED9">
        <w:rPr>
          <w:szCs w:val="28"/>
        </w:rPr>
        <w:t>;</w:t>
      </w:r>
    </w:p>
    <w:p w:rsidR="003659DC" w:rsidRDefault="00DB49DC" w:rsidP="003659DC">
      <w:pPr>
        <w:spacing w:before="40" w:after="40" w:line="340" w:lineRule="exact"/>
        <w:ind w:firstLine="720"/>
        <w:jc w:val="both"/>
        <w:rPr>
          <w:szCs w:val="28"/>
        </w:rPr>
      </w:pPr>
      <w:r>
        <w:rPr>
          <w:szCs w:val="28"/>
        </w:rPr>
        <w:t>Bộ Giáo dục và Đào tạo đề nghị bảo lưu ý kiến vì học sinh đã được nhận mức giải thưởng tại Nghị định này thì không nhậ</w:t>
      </w:r>
      <w:r w:rsidR="003659DC">
        <w:rPr>
          <w:szCs w:val="28"/>
        </w:rPr>
        <w:t>n mức</w:t>
      </w:r>
      <w:r>
        <w:rPr>
          <w:szCs w:val="28"/>
        </w:rPr>
        <w:t xml:space="preserve"> thưởng theo quy định của Nghị định số 91/2017/NĐ-CP là phù hợp, các thành viên Chính phủ cũng đã nhất trí nội dung này khi Bộ xây dựng hồ sơ đề nghị xây dựng Nghị định. </w:t>
      </w:r>
    </w:p>
    <w:p w:rsidR="00DB49DC" w:rsidRDefault="00DB49DC" w:rsidP="003F4CE9">
      <w:pPr>
        <w:spacing w:before="40" w:after="40" w:line="340" w:lineRule="exact"/>
        <w:ind w:firstLine="720"/>
        <w:jc w:val="both"/>
        <w:rPr>
          <w:szCs w:val="28"/>
        </w:rPr>
      </w:pPr>
      <w:r>
        <w:rPr>
          <w:szCs w:val="28"/>
        </w:rPr>
        <w:t xml:space="preserve">b) Bộ Tài chính có ý kiến: </w:t>
      </w:r>
    </w:p>
    <w:p w:rsidR="003659DC" w:rsidRDefault="003659DC" w:rsidP="003F4CE9">
      <w:pPr>
        <w:spacing w:before="40" w:after="40" w:line="340" w:lineRule="exact"/>
        <w:ind w:firstLine="720"/>
        <w:jc w:val="both"/>
        <w:rPr>
          <w:szCs w:val="28"/>
        </w:rPr>
      </w:pPr>
      <w:r>
        <w:rPr>
          <w:szCs w:val="28"/>
        </w:rPr>
        <w:t>Mức thưởng của HSSV mang tính chất động viên, khuyến khích thể hiện sự ghi nhận của Nhà nước đối với thành tích học tập, nghiên cứu, rèn luyện. Về bản chất mức thưởng này không xuấ</w:t>
      </w:r>
      <w:r w:rsidR="00DA3C14">
        <w:rPr>
          <w:szCs w:val="28"/>
        </w:rPr>
        <w:t xml:space="preserve">t phát </w:t>
      </w:r>
      <w:r>
        <w:rPr>
          <w:szCs w:val="28"/>
        </w:rPr>
        <w:t>từ mục đích hỗ trợ thu nhập hoặc trang trải kinh phí học tập. Việc dự thảo quy định mức thưởng cao gấp nhiều lần hình thức khen thưởng tương đương quy định tại Nghị định số 91/2017/NĐ-CP nên cần nghiên cứu đảm bảo tương quan giữa các đối tượng được khen thưởng</w:t>
      </w:r>
      <w:r w:rsidR="00644ED9">
        <w:rPr>
          <w:szCs w:val="28"/>
        </w:rPr>
        <w:t>.</w:t>
      </w:r>
    </w:p>
    <w:p w:rsidR="003659DC" w:rsidRDefault="00940921" w:rsidP="00EC316C">
      <w:pPr>
        <w:tabs>
          <w:tab w:val="left" w:pos="709"/>
        </w:tabs>
        <w:spacing w:line="340" w:lineRule="exact"/>
        <w:ind w:firstLine="709"/>
        <w:jc w:val="both"/>
        <w:rPr>
          <w:szCs w:val="28"/>
        </w:rPr>
      </w:pPr>
      <w:r>
        <w:rPr>
          <w:szCs w:val="28"/>
        </w:rPr>
        <w:t xml:space="preserve">Bộ Giáo dục và Đào tạo giải trình như sau: </w:t>
      </w:r>
      <w:r w:rsidR="003659DC">
        <w:rPr>
          <w:szCs w:val="28"/>
        </w:rPr>
        <w:t xml:space="preserve">Mức thưởng quy định tại Nghị định này là mức thưởng </w:t>
      </w:r>
      <w:r w:rsidR="00EC316C">
        <w:rPr>
          <w:szCs w:val="28"/>
        </w:rPr>
        <w:t>nhằm đầu tư, bồi dưỡng, thu hút nhân tài của Nhà nước. Mức thưởng này không cao so với thời điểm Quyết định số 158 được ban hành (ví dụ: HSSV</w:t>
      </w:r>
      <w:r w:rsidR="003659DC" w:rsidRPr="001A61C4">
        <w:rPr>
          <w:szCs w:val="28"/>
        </w:rPr>
        <w:t xml:space="preserve"> đoạt Huy chương Vàng quốc tế năm 2002 được thưởng 15.000.000đ gấp 71 lần mức lương cơ sở thời điể</w:t>
      </w:r>
      <w:r w:rsidR="00EC316C">
        <w:rPr>
          <w:szCs w:val="28"/>
        </w:rPr>
        <w:t>m đó, nay mức thưởng Huy chương Vàng thế giới Bộ Giáo dục và Đào tạo chỉ đề xuất mức thưởng là 70.000.000đ tương đương 50 lần mức lương cơ sở hiệ</w:t>
      </w:r>
      <w:r w:rsidR="00DA3C14">
        <w:rPr>
          <w:szCs w:val="28"/>
        </w:rPr>
        <w:t>n nay). M</w:t>
      </w:r>
      <w:r w:rsidR="00EC316C">
        <w:rPr>
          <w:szCs w:val="28"/>
        </w:rPr>
        <w:t>ức thưởng này cũng không cao so với vận động viên đoạt giải trong lĩnh vực thể thao theo quy định của Chính phủ</w:t>
      </w:r>
      <w:r w:rsidR="00DA3C14">
        <w:rPr>
          <w:szCs w:val="28"/>
        </w:rPr>
        <w:t>. Đ</w:t>
      </w:r>
      <w:r w:rsidR="00EC316C">
        <w:rPr>
          <w:szCs w:val="28"/>
        </w:rPr>
        <w:t xml:space="preserve">ồng thời </w:t>
      </w:r>
      <w:r w:rsidR="003659DC" w:rsidRPr="001A61C4">
        <w:rPr>
          <w:szCs w:val="28"/>
        </w:rPr>
        <w:t>đảm bảo nguyên tắc kết hợp chặt chẽ động viên tinh thần với khuyến khích bằng lợi ích vật chất</w:t>
      </w:r>
      <w:r w:rsidR="00EC316C">
        <w:rPr>
          <w:szCs w:val="28"/>
        </w:rPr>
        <w:t xml:space="preserve"> theo quy định của Luật Thi đua, khen thưởng.</w:t>
      </w:r>
    </w:p>
    <w:p w:rsidR="00EC316C" w:rsidRDefault="00940921" w:rsidP="00EC316C">
      <w:pPr>
        <w:tabs>
          <w:tab w:val="left" w:pos="709"/>
        </w:tabs>
        <w:spacing w:line="340" w:lineRule="exact"/>
        <w:ind w:firstLine="709"/>
        <w:jc w:val="both"/>
        <w:rPr>
          <w:i/>
          <w:szCs w:val="28"/>
        </w:rPr>
      </w:pPr>
      <w:r>
        <w:rPr>
          <w:szCs w:val="28"/>
        </w:rPr>
        <w:t>Không gắn mức khen thưởng với mức lương cơ sở theo quy định tại Điểm 4, Mục III Nghị quyết số 27-NQ/TW ngày 21/5/2018 của Hội nghị lần thứ 7 Ban chấp hành Trung ương khóa XII về cải cách chế độ tiền lương đối với cán bộ, công chức, viên chức, lực lượng vũ trang và người lao động trong doanh nghiệp (“</w:t>
      </w:r>
      <w:r>
        <w:rPr>
          <w:i/>
          <w:szCs w:val="28"/>
        </w:rPr>
        <w:t>Không gắn mức lương của cán bộ, công chức, viên chức với việc xây dựng, sửa đổi, bổ sung các văn bản quy định chính sách, chế độ không có tính chất lương”)</w:t>
      </w:r>
      <w:r w:rsidR="00644ED9">
        <w:rPr>
          <w:i/>
          <w:szCs w:val="28"/>
        </w:rPr>
        <w:t>.</w:t>
      </w:r>
    </w:p>
    <w:p w:rsidR="00940921" w:rsidRPr="00940921" w:rsidRDefault="00940921" w:rsidP="00EC316C">
      <w:pPr>
        <w:tabs>
          <w:tab w:val="left" w:pos="709"/>
        </w:tabs>
        <w:spacing w:line="340" w:lineRule="exact"/>
        <w:ind w:firstLine="709"/>
        <w:jc w:val="both"/>
        <w:rPr>
          <w:szCs w:val="28"/>
        </w:rPr>
      </w:pPr>
      <w:r>
        <w:rPr>
          <w:szCs w:val="28"/>
        </w:rPr>
        <w:t>Bộ Giáo dục và Đào tạo tiếp thu ý kiến của Bộ Tài chính</w:t>
      </w:r>
      <w:r w:rsidR="00694731">
        <w:rPr>
          <w:szCs w:val="28"/>
        </w:rPr>
        <w:t>,</w:t>
      </w:r>
      <w:r>
        <w:rPr>
          <w:szCs w:val="28"/>
        </w:rPr>
        <w:t xml:space="preserve"> chỉnh sửa dự thảo và không quy định mức thưởng cho HSSV theo mức lương cơ sở như dự thảo cũ. </w:t>
      </w:r>
    </w:p>
    <w:p w:rsidR="00803CFE" w:rsidRDefault="00813F55" w:rsidP="00940921">
      <w:pPr>
        <w:spacing w:before="40" w:after="40" w:line="340" w:lineRule="exact"/>
        <w:ind w:firstLine="601"/>
        <w:jc w:val="both"/>
        <w:rPr>
          <w:szCs w:val="28"/>
        </w:rPr>
      </w:pPr>
      <w:r>
        <w:rPr>
          <w:szCs w:val="28"/>
        </w:rPr>
        <w:t>c</w:t>
      </w:r>
      <w:r w:rsidR="00803CFE">
        <w:rPr>
          <w:szCs w:val="28"/>
        </w:rPr>
        <w:t>) Bộ Tư pháp có ý kiến: Về mức khen thưởng cho đội,</w:t>
      </w:r>
      <w:r w:rsidR="005453C6">
        <w:rPr>
          <w:szCs w:val="28"/>
        </w:rPr>
        <w:t xml:space="preserve"> </w:t>
      </w:r>
      <w:r w:rsidR="00803CFE">
        <w:rPr>
          <w:szCs w:val="28"/>
        </w:rPr>
        <w:t>nhóm HSSV đoạt giải: Nghị định số 91/2017/NĐ-CP quy định nguyên tắc khen thưở</w:t>
      </w:r>
      <w:r w:rsidR="005453C6">
        <w:rPr>
          <w:szCs w:val="28"/>
        </w:rPr>
        <w:t>ng “</w:t>
      </w:r>
      <w:r w:rsidR="00803CFE">
        <w:rPr>
          <w:szCs w:val="28"/>
        </w:rPr>
        <w:t xml:space="preserve">Chú trọng khen thưởng tập thể nhỏ và cá nhân là người trực tiếp lao động, sản xuất, học tập, công tác, chiến đấu hoặc phục vụ chiến đấu” đối với mức khen thưởng Điểm b Khoản 2 Điều 66 Nghị định số 91/2017/NĐ-CP quy định “Trong cùng </w:t>
      </w:r>
      <w:r w:rsidR="00803CFE">
        <w:rPr>
          <w:szCs w:val="28"/>
        </w:rPr>
        <w:lastRenderedPageBreak/>
        <w:t>một hình thức khen thưởng, mức tiền thưởng đối với tập thể cao hơn mức tiền thưởng đối với cá nhân, tuy nhiên Khoản 5 Điều 5 dự thảo lại quy định: các đội, nhóm HSSV (có thể được xem là tập thể nhỏ) đoạt giải trong các kỳ thi quốc gia, quốc tế thì mỗi cá nhân được hưởng mức tiền thưởng tương ứng với giải thưởng do cá nhân HSSV đạt được. Quy định như dự thảo là chưa hợp lý đề nghị cơ quan soạn thảo nghiên cứu làm rõ nội dung trên</w:t>
      </w:r>
      <w:r w:rsidR="00644ED9">
        <w:rPr>
          <w:szCs w:val="28"/>
        </w:rPr>
        <w:t>.</w:t>
      </w:r>
    </w:p>
    <w:p w:rsidR="00D07DB1" w:rsidRPr="001A61C4" w:rsidRDefault="00803CFE" w:rsidP="003F4CE9">
      <w:pPr>
        <w:spacing w:before="40" w:after="40"/>
        <w:ind w:firstLine="601"/>
        <w:jc w:val="both"/>
        <w:rPr>
          <w:szCs w:val="28"/>
        </w:rPr>
      </w:pPr>
      <w:r>
        <w:rPr>
          <w:szCs w:val="28"/>
        </w:rPr>
        <w:t>Bộ Giáo dục và Đào tạo đã có báo cáo giải trình rõ vấn đề này trong Tờ trình.</w:t>
      </w:r>
      <w:r w:rsidR="00D07DB1" w:rsidRPr="00D07DB1">
        <w:rPr>
          <w:szCs w:val="28"/>
        </w:rPr>
        <w:t xml:space="preserve"> </w:t>
      </w:r>
      <w:r w:rsidR="00D07DB1" w:rsidRPr="001A61C4">
        <w:rPr>
          <w:szCs w:val="28"/>
        </w:rPr>
        <w:t>Theo Quy chế thi Nghiên cứu khoa học kỹ thuật và thi tay nghề, học sinh, sinh viên tham gia theo nhóm, đội; mỗi nhóm, đội có từ 2-3 học sinh, sinh viên. Về tiền thưởng, Bộ Giáo dục và Đào tạo đề xuất mỗi học sinh trong nhóm được hưởng mức tiền thưởng tương ứng với giải cá nhân vì các lý do sau:</w:t>
      </w:r>
    </w:p>
    <w:p w:rsidR="00D07DB1" w:rsidRPr="001A61C4" w:rsidRDefault="00644ED9" w:rsidP="003F4CE9">
      <w:pPr>
        <w:spacing w:before="40" w:after="40"/>
        <w:ind w:firstLine="601"/>
        <w:jc w:val="both"/>
        <w:rPr>
          <w:szCs w:val="28"/>
        </w:rPr>
      </w:pPr>
      <w:r>
        <w:rPr>
          <w:szCs w:val="28"/>
        </w:rPr>
        <w:t>-</w:t>
      </w:r>
      <w:r w:rsidR="00D07DB1" w:rsidRPr="001A61C4">
        <w:rPr>
          <w:szCs w:val="28"/>
        </w:rPr>
        <w:t xml:space="preserve"> Theo quy định tại Nghị định số 91/2017/NĐ-CP, trong cùng 1 hình thức khen thưởng, mức thưởng kèm theo của tập thể gấp hai lần mức tiền thưởng đối với cá nhân. Do vậy, nếu coi nhóm, đội học sinh, sinh viên như là tập thể thì với nhóm 2 em trong kỳ thi Nghiên cứu khoa học kỹ thuật mỗi em được hưởng mức tiền thưởng tương ứng với giải cá nhân. Đối với nhóm 3 em trong kỳ thi tay nghề, mỗi em sẽ được 66,6% mức tiền thưởng của mỗi cá nhân.</w:t>
      </w:r>
    </w:p>
    <w:p w:rsidR="00D07DB1" w:rsidRPr="001A61C4" w:rsidRDefault="00644ED9" w:rsidP="003F4CE9">
      <w:pPr>
        <w:spacing w:before="40" w:after="40"/>
        <w:ind w:firstLine="601"/>
        <w:jc w:val="both"/>
        <w:rPr>
          <w:szCs w:val="28"/>
        </w:rPr>
      </w:pPr>
      <w:r>
        <w:rPr>
          <w:szCs w:val="28"/>
        </w:rPr>
        <w:t>-</w:t>
      </w:r>
      <w:r w:rsidR="00D07DB1" w:rsidRPr="001A61C4">
        <w:rPr>
          <w:szCs w:val="28"/>
        </w:rPr>
        <w:t xml:space="preserve"> Số tiền thưởng của mỗi giải không quá cao, nếu chia ra cho 3 thành viên trong nhóm, đội thì số tiền thưởng sẽ rất thấp không tương xứng với thành tích các em đạt được; việc quy định thi theo nhóm, đội thì mỗi thành viên ngoài việc nỗ lực cá nhân để hoàn thành nhiệm vụ theo mảng được phân công còn cần có sự hợp tác, phối hợp thật tốt để đội, nhóm đoạt được thành tích cao.</w:t>
      </w:r>
    </w:p>
    <w:p w:rsidR="00D07DB1" w:rsidRPr="001A61C4" w:rsidRDefault="00D07DB1" w:rsidP="003F4CE9">
      <w:pPr>
        <w:pStyle w:val="ListParagraph"/>
        <w:spacing w:before="40" w:after="40"/>
        <w:ind w:left="0" w:firstLine="709"/>
        <w:jc w:val="both"/>
        <w:rPr>
          <w:szCs w:val="28"/>
        </w:rPr>
      </w:pPr>
      <w:r w:rsidRPr="001A61C4">
        <w:rPr>
          <w:szCs w:val="28"/>
        </w:rPr>
        <w:t>Do vậy, Bộ Giáo dục và Đào tạo đề xuất mỗi cá nhân thi theo nhóm, đội, được thưởng mức tiền thưởng tương ứng với giải cá nhân, nhằm động viên khích lệ các học sinh, sinh viên tham gia trong lĩnh vực nghiên cứu khoa học kỹ thuật và thi tay nghề.</w:t>
      </w:r>
    </w:p>
    <w:p w:rsidR="00803CFE" w:rsidRPr="003F4CE9" w:rsidRDefault="00F7523F" w:rsidP="003F4CE9">
      <w:pPr>
        <w:spacing w:before="60" w:after="60" w:line="340" w:lineRule="exact"/>
        <w:ind w:firstLine="720"/>
        <w:jc w:val="both"/>
        <w:rPr>
          <w:szCs w:val="28"/>
        </w:rPr>
      </w:pPr>
      <w:r>
        <w:rPr>
          <w:szCs w:val="28"/>
        </w:rPr>
        <w:t xml:space="preserve">                                 </w:t>
      </w:r>
      <w:r w:rsidR="003F4CE9">
        <w:rPr>
          <w:szCs w:val="28"/>
        </w:rPr>
        <w:t xml:space="preserve">                               </w:t>
      </w:r>
      <w:r w:rsidRPr="00F7523F">
        <w:rPr>
          <w:b/>
          <w:szCs w:val="28"/>
        </w:rPr>
        <w:t>BỘ GIÁO DỤC VÀ ĐÀO TẠO</w:t>
      </w:r>
    </w:p>
    <w:p w:rsidR="00BD2F6F" w:rsidRPr="00BD2F6F" w:rsidRDefault="00BD2F6F" w:rsidP="00803CFE">
      <w:pPr>
        <w:spacing w:before="60" w:after="60" w:line="240" w:lineRule="auto"/>
        <w:ind w:firstLine="720"/>
        <w:jc w:val="both"/>
        <w:rPr>
          <w:szCs w:val="28"/>
        </w:rPr>
      </w:pPr>
    </w:p>
    <w:p w:rsidR="00BD2F6F" w:rsidRDefault="00BD2F6F" w:rsidP="00803CFE">
      <w:pPr>
        <w:spacing w:before="60" w:after="60" w:line="240" w:lineRule="auto"/>
        <w:ind w:firstLine="720"/>
        <w:jc w:val="both"/>
        <w:rPr>
          <w:szCs w:val="28"/>
        </w:rPr>
      </w:pPr>
    </w:p>
    <w:p w:rsidR="00BD2F6F" w:rsidRPr="00136751" w:rsidRDefault="00BD2F6F" w:rsidP="00803CFE">
      <w:pPr>
        <w:spacing w:before="60" w:after="60" w:line="240" w:lineRule="auto"/>
        <w:ind w:firstLine="720"/>
        <w:jc w:val="both"/>
        <w:rPr>
          <w:szCs w:val="28"/>
        </w:rPr>
      </w:pPr>
      <w:r>
        <w:rPr>
          <w:szCs w:val="28"/>
        </w:rPr>
        <w:t xml:space="preserve"> </w:t>
      </w:r>
    </w:p>
    <w:p w:rsidR="00B5217F" w:rsidRDefault="00B5217F" w:rsidP="00803CFE">
      <w:pPr>
        <w:spacing w:before="60" w:after="60" w:line="240" w:lineRule="auto"/>
        <w:ind w:firstLine="720"/>
        <w:jc w:val="both"/>
        <w:rPr>
          <w:szCs w:val="28"/>
        </w:rPr>
      </w:pPr>
    </w:p>
    <w:p w:rsidR="00B5217F" w:rsidRDefault="00B5217F" w:rsidP="00803CFE">
      <w:pPr>
        <w:spacing w:before="60" w:after="60" w:line="240" w:lineRule="auto"/>
        <w:ind w:firstLine="720"/>
        <w:jc w:val="both"/>
        <w:rPr>
          <w:szCs w:val="28"/>
        </w:rPr>
      </w:pPr>
    </w:p>
    <w:p w:rsidR="008F1CDE" w:rsidRPr="00BB6AC4" w:rsidRDefault="008F1CDE" w:rsidP="00803CFE">
      <w:pPr>
        <w:spacing w:before="60" w:after="60" w:line="240" w:lineRule="auto"/>
        <w:ind w:firstLine="720"/>
        <w:jc w:val="both"/>
        <w:rPr>
          <w:szCs w:val="28"/>
        </w:rPr>
      </w:pPr>
    </w:p>
    <w:p w:rsidR="003B0168" w:rsidRDefault="003B0168" w:rsidP="00803CFE">
      <w:pPr>
        <w:spacing w:before="60" w:after="60" w:line="240" w:lineRule="auto"/>
        <w:rPr>
          <w:szCs w:val="28"/>
        </w:rPr>
      </w:pPr>
    </w:p>
    <w:p w:rsidR="003B0168" w:rsidRDefault="003B0168" w:rsidP="00803CFE">
      <w:pPr>
        <w:spacing w:before="60" w:after="60" w:line="240" w:lineRule="auto"/>
        <w:rPr>
          <w:szCs w:val="28"/>
        </w:rPr>
      </w:pPr>
    </w:p>
    <w:p w:rsidR="003B0168" w:rsidRDefault="003B0168" w:rsidP="00803CFE">
      <w:pPr>
        <w:spacing w:before="60" w:after="60" w:line="240" w:lineRule="auto"/>
        <w:rPr>
          <w:szCs w:val="24"/>
        </w:rPr>
      </w:pPr>
    </w:p>
    <w:p w:rsidR="0070552E" w:rsidRDefault="0070552E" w:rsidP="00803CFE">
      <w:pPr>
        <w:shd w:val="clear" w:color="auto" w:fill="FFFFFF"/>
        <w:spacing w:before="60" w:after="60" w:line="240" w:lineRule="auto"/>
        <w:ind w:right="51"/>
        <w:jc w:val="both"/>
        <w:rPr>
          <w:rFonts w:eastAsia="Times New Roman" w:cs="Times New Roman"/>
          <w:color w:val="222222"/>
          <w:szCs w:val="28"/>
        </w:rPr>
      </w:pPr>
    </w:p>
    <w:p w:rsidR="0070552E" w:rsidRDefault="0070552E" w:rsidP="00803CFE">
      <w:pPr>
        <w:shd w:val="clear" w:color="auto" w:fill="FFFFFF"/>
        <w:spacing w:before="60" w:after="60" w:line="240" w:lineRule="auto"/>
        <w:ind w:right="51" w:firstLine="567"/>
        <w:jc w:val="both"/>
        <w:rPr>
          <w:rFonts w:eastAsia="Times New Roman" w:cs="Times New Roman"/>
          <w:color w:val="222222"/>
          <w:szCs w:val="28"/>
        </w:rPr>
      </w:pPr>
    </w:p>
    <w:sectPr w:rsidR="0070552E" w:rsidSect="00463A70">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D3" w:rsidRDefault="000671D3" w:rsidP="00463A70">
      <w:pPr>
        <w:spacing w:before="0" w:line="240" w:lineRule="auto"/>
      </w:pPr>
      <w:r>
        <w:separator/>
      </w:r>
    </w:p>
  </w:endnote>
  <w:endnote w:type="continuationSeparator" w:id="0">
    <w:p w:rsidR="000671D3" w:rsidRDefault="000671D3" w:rsidP="00463A7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3E" w:rsidRDefault="00FD0C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31227"/>
      <w:docPartObj>
        <w:docPartGallery w:val="Page Numbers (Bottom of Page)"/>
        <w:docPartUnique/>
      </w:docPartObj>
    </w:sdtPr>
    <w:sdtContent>
      <w:p w:rsidR="00FD0C3E" w:rsidRDefault="006153D5">
        <w:pPr>
          <w:pStyle w:val="Footer"/>
          <w:jc w:val="right"/>
        </w:pPr>
        <w:fldSimple w:instr=" PAGE   \* MERGEFORMAT ">
          <w:r w:rsidR="00F75326">
            <w:rPr>
              <w:noProof/>
            </w:rPr>
            <w:t>8</w:t>
          </w:r>
        </w:fldSimple>
      </w:p>
    </w:sdtContent>
  </w:sdt>
  <w:p w:rsidR="00FD0C3E" w:rsidRDefault="00FD0C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3E" w:rsidRDefault="00FD0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D3" w:rsidRDefault="000671D3" w:rsidP="00463A70">
      <w:pPr>
        <w:spacing w:before="0" w:line="240" w:lineRule="auto"/>
      </w:pPr>
      <w:r>
        <w:separator/>
      </w:r>
    </w:p>
  </w:footnote>
  <w:footnote w:type="continuationSeparator" w:id="0">
    <w:p w:rsidR="000671D3" w:rsidRDefault="000671D3" w:rsidP="00463A7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3E" w:rsidRDefault="00FD0C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3E" w:rsidRDefault="00FD0C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3E" w:rsidRDefault="00FD0C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93293"/>
    <w:multiLevelType w:val="hybridMultilevel"/>
    <w:tmpl w:val="F45C0194"/>
    <w:lvl w:ilvl="0" w:tplc="E7B6C3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C73ADF"/>
    <w:multiLevelType w:val="hybridMultilevel"/>
    <w:tmpl w:val="53A8B9A0"/>
    <w:lvl w:ilvl="0" w:tplc="6E2851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3B0168"/>
    <w:rsid w:val="00004EB1"/>
    <w:rsid w:val="00011523"/>
    <w:rsid w:val="00024A78"/>
    <w:rsid w:val="00024E82"/>
    <w:rsid w:val="000352A5"/>
    <w:rsid w:val="00036B9B"/>
    <w:rsid w:val="00041CDD"/>
    <w:rsid w:val="00042533"/>
    <w:rsid w:val="00044166"/>
    <w:rsid w:val="00046D82"/>
    <w:rsid w:val="0005073E"/>
    <w:rsid w:val="000639A3"/>
    <w:rsid w:val="00065968"/>
    <w:rsid w:val="000671D3"/>
    <w:rsid w:val="00071A5D"/>
    <w:rsid w:val="0008201E"/>
    <w:rsid w:val="00097C7F"/>
    <w:rsid w:val="000A08C3"/>
    <w:rsid w:val="000B4404"/>
    <w:rsid w:val="000B5245"/>
    <w:rsid w:val="000C7BF1"/>
    <w:rsid w:val="000E5899"/>
    <w:rsid w:val="000F5B1D"/>
    <w:rsid w:val="00107D91"/>
    <w:rsid w:val="00124916"/>
    <w:rsid w:val="00130D80"/>
    <w:rsid w:val="0013123D"/>
    <w:rsid w:val="00144E26"/>
    <w:rsid w:val="001535E9"/>
    <w:rsid w:val="00156E3D"/>
    <w:rsid w:val="001663A8"/>
    <w:rsid w:val="00187D1B"/>
    <w:rsid w:val="001A1FAF"/>
    <w:rsid w:val="001A624E"/>
    <w:rsid w:val="001A7D94"/>
    <w:rsid w:val="001B01A4"/>
    <w:rsid w:val="001B627A"/>
    <w:rsid w:val="001C5363"/>
    <w:rsid w:val="001D08BC"/>
    <w:rsid w:val="001D16C0"/>
    <w:rsid w:val="001D4925"/>
    <w:rsid w:val="001E0B04"/>
    <w:rsid w:val="001E3A47"/>
    <w:rsid w:val="001E51D0"/>
    <w:rsid w:val="001E7732"/>
    <w:rsid w:val="001F32C0"/>
    <w:rsid w:val="00203BF8"/>
    <w:rsid w:val="00220833"/>
    <w:rsid w:val="002222CC"/>
    <w:rsid w:val="00240340"/>
    <w:rsid w:val="00240D08"/>
    <w:rsid w:val="0024592E"/>
    <w:rsid w:val="00264937"/>
    <w:rsid w:val="00276453"/>
    <w:rsid w:val="002A1133"/>
    <w:rsid w:val="002A31BD"/>
    <w:rsid w:val="002A6BC9"/>
    <w:rsid w:val="002D7368"/>
    <w:rsid w:val="002E1242"/>
    <w:rsid w:val="002E6DC0"/>
    <w:rsid w:val="002F0FDA"/>
    <w:rsid w:val="00310F28"/>
    <w:rsid w:val="0031536A"/>
    <w:rsid w:val="00340494"/>
    <w:rsid w:val="00346FAD"/>
    <w:rsid w:val="00352FBB"/>
    <w:rsid w:val="00357056"/>
    <w:rsid w:val="003619B4"/>
    <w:rsid w:val="003641AE"/>
    <w:rsid w:val="003659DC"/>
    <w:rsid w:val="003715B7"/>
    <w:rsid w:val="0037721D"/>
    <w:rsid w:val="00377A92"/>
    <w:rsid w:val="00390121"/>
    <w:rsid w:val="00394712"/>
    <w:rsid w:val="00395D97"/>
    <w:rsid w:val="003B0168"/>
    <w:rsid w:val="003B7936"/>
    <w:rsid w:val="003C104E"/>
    <w:rsid w:val="003C1D95"/>
    <w:rsid w:val="003D5BAD"/>
    <w:rsid w:val="003E1F46"/>
    <w:rsid w:val="003F0676"/>
    <w:rsid w:val="003F4CE9"/>
    <w:rsid w:val="004165F8"/>
    <w:rsid w:val="00417DA9"/>
    <w:rsid w:val="004273BC"/>
    <w:rsid w:val="00431A76"/>
    <w:rsid w:val="004441E7"/>
    <w:rsid w:val="0044589C"/>
    <w:rsid w:val="00463A70"/>
    <w:rsid w:val="00477C05"/>
    <w:rsid w:val="00483776"/>
    <w:rsid w:val="0048775E"/>
    <w:rsid w:val="00492784"/>
    <w:rsid w:val="0049428B"/>
    <w:rsid w:val="004A6D7D"/>
    <w:rsid w:val="004B40B1"/>
    <w:rsid w:val="004E1EEE"/>
    <w:rsid w:val="004F248E"/>
    <w:rsid w:val="004F2D00"/>
    <w:rsid w:val="0050232E"/>
    <w:rsid w:val="00517277"/>
    <w:rsid w:val="005231BD"/>
    <w:rsid w:val="00524735"/>
    <w:rsid w:val="00543682"/>
    <w:rsid w:val="005453C6"/>
    <w:rsid w:val="00546AEA"/>
    <w:rsid w:val="00547C09"/>
    <w:rsid w:val="00550F19"/>
    <w:rsid w:val="00551670"/>
    <w:rsid w:val="0056063E"/>
    <w:rsid w:val="00592127"/>
    <w:rsid w:val="0059565D"/>
    <w:rsid w:val="00597A77"/>
    <w:rsid w:val="005B1489"/>
    <w:rsid w:val="005C22B7"/>
    <w:rsid w:val="005D0518"/>
    <w:rsid w:val="005F2CE7"/>
    <w:rsid w:val="00601D42"/>
    <w:rsid w:val="006153D5"/>
    <w:rsid w:val="00616A8E"/>
    <w:rsid w:val="006177C7"/>
    <w:rsid w:val="00622A32"/>
    <w:rsid w:val="00643E3B"/>
    <w:rsid w:val="00644ED9"/>
    <w:rsid w:val="00650061"/>
    <w:rsid w:val="0065018D"/>
    <w:rsid w:val="0065617A"/>
    <w:rsid w:val="006632A5"/>
    <w:rsid w:val="00676018"/>
    <w:rsid w:val="00676A9C"/>
    <w:rsid w:val="0068740F"/>
    <w:rsid w:val="00694731"/>
    <w:rsid w:val="00695ACB"/>
    <w:rsid w:val="006C0F61"/>
    <w:rsid w:val="006C3265"/>
    <w:rsid w:val="006D158F"/>
    <w:rsid w:val="006D36BE"/>
    <w:rsid w:val="006E0C20"/>
    <w:rsid w:val="006E137E"/>
    <w:rsid w:val="006F4A9D"/>
    <w:rsid w:val="006F775F"/>
    <w:rsid w:val="0070040E"/>
    <w:rsid w:val="00701831"/>
    <w:rsid w:val="0070552E"/>
    <w:rsid w:val="007069F5"/>
    <w:rsid w:val="00707946"/>
    <w:rsid w:val="00716A2E"/>
    <w:rsid w:val="00737476"/>
    <w:rsid w:val="00741DA2"/>
    <w:rsid w:val="00745D18"/>
    <w:rsid w:val="00773719"/>
    <w:rsid w:val="00785262"/>
    <w:rsid w:val="007944A9"/>
    <w:rsid w:val="007A0522"/>
    <w:rsid w:val="007A07A7"/>
    <w:rsid w:val="007A18DC"/>
    <w:rsid w:val="007A5E21"/>
    <w:rsid w:val="007B15E9"/>
    <w:rsid w:val="007C795F"/>
    <w:rsid w:val="007F6E28"/>
    <w:rsid w:val="00801DFB"/>
    <w:rsid w:val="008021FB"/>
    <w:rsid w:val="00803CFE"/>
    <w:rsid w:val="00811BDE"/>
    <w:rsid w:val="00813F55"/>
    <w:rsid w:val="0082231C"/>
    <w:rsid w:val="00823A13"/>
    <w:rsid w:val="00831FEB"/>
    <w:rsid w:val="0083747D"/>
    <w:rsid w:val="00850485"/>
    <w:rsid w:val="00860318"/>
    <w:rsid w:val="00872BFA"/>
    <w:rsid w:val="00872D99"/>
    <w:rsid w:val="00875967"/>
    <w:rsid w:val="008865B3"/>
    <w:rsid w:val="008942C9"/>
    <w:rsid w:val="008A131D"/>
    <w:rsid w:val="008B1552"/>
    <w:rsid w:val="008B29BB"/>
    <w:rsid w:val="008B566F"/>
    <w:rsid w:val="008B60D4"/>
    <w:rsid w:val="008B6579"/>
    <w:rsid w:val="008B6E12"/>
    <w:rsid w:val="008B7967"/>
    <w:rsid w:val="008C2148"/>
    <w:rsid w:val="008C6AF8"/>
    <w:rsid w:val="008C7247"/>
    <w:rsid w:val="008E1033"/>
    <w:rsid w:val="008E5222"/>
    <w:rsid w:val="008F1CDE"/>
    <w:rsid w:val="00913ACA"/>
    <w:rsid w:val="0092069E"/>
    <w:rsid w:val="00934577"/>
    <w:rsid w:val="00940921"/>
    <w:rsid w:val="00943090"/>
    <w:rsid w:val="0094466E"/>
    <w:rsid w:val="00945688"/>
    <w:rsid w:val="00945D0F"/>
    <w:rsid w:val="00955996"/>
    <w:rsid w:val="009644FF"/>
    <w:rsid w:val="00970640"/>
    <w:rsid w:val="009731E7"/>
    <w:rsid w:val="00974AF9"/>
    <w:rsid w:val="009813F8"/>
    <w:rsid w:val="00984F53"/>
    <w:rsid w:val="00987A08"/>
    <w:rsid w:val="009A0BC7"/>
    <w:rsid w:val="009B3CFA"/>
    <w:rsid w:val="009B6E2B"/>
    <w:rsid w:val="009D007A"/>
    <w:rsid w:val="009E1E1F"/>
    <w:rsid w:val="009E2FB0"/>
    <w:rsid w:val="00A11781"/>
    <w:rsid w:val="00A13337"/>
    <w:rsid w:val="00A13F32"/>
    <w:rsid w:val="00A30156"/>
    <w:rsid w:val="00A43ADB"/>
    <w:rsid w:val="00A43CFB"/>
    <w:rsid w:val="00A4737C"/>
    <w:rsid w:val="00A64F96"/>
    <w:rsid w:val="00A75988"/>
    <w:rsid w:val="00A920F6"/>
    <w:rsid w:val="00AA1890"/>
    <w:rsid w:val="00AA6C1D"/>
    <w:rsid w:val="00AB1DCF"/>
    <w:rsid w:val="00AB51A9"/>
    <w:rsid w:val="00AC11F6"/>
    <w:rsid w:val="00AC34E1"/>
    <w:rsid w:val="00AE3ED1"/>
    <w:rsid w:val="00AF0145"/>
    <w:rsid w:val="00B017AC"/>
    <w:rsid w:val="00B16493"/>
    <w:rsid w:val="00B20F7A"/>
    <w:rsid w:val="00B24C40"/>
    <w:rsid w:val="00B2509C"/>
    <w:rsid w:val="00B45245"/>
    <w:rsid w:val="00B5217F"/>
    <w:rsid w:val="00B61AB0"/>
    <w:rsid w:val="00B62AEF"/>
    <w:rsid w:val="00B67DFE"/>
    <w:rsid w:val="00B76B45"/>
    <w:rsid w:val="00BB5B91"/>
    <w:rsid w:val="00BB6AC4"/>
    <w:rsid w:val="00BB7A85"/>
    <w:rsid w:val="00BC29FA"/>
    <w:rsid w:val="00BC6D8D"/>
    <w:rsid w:val="00BD2F6F"/>
    <w:rsid w:val="00BD5343"/>
    <w:rsid w:val="00BF01B3"/>
    <w:rsid w:val="00C05BBD"/>
    <w:rsid w:val="00C075AF"/>
    <w:rsid w:val="00C07A2E"/>
    <w:rsid w:val="00C208FC"/>
    <w:rsid w:val="00C22B52"/>
    <w:rsid w:val="00C44459"/>
    <w:rsid w:val="00C4647C"/>
    <w:rsid w:val="00C64C96"/>
    <w:rsid w:val="00C72736"/>
    <w:rsid w:val="00C75572"/>
    <w:rsid w:val="00C767AC"/>
    <w:rsid w:val="00CA6592"/>
    <w:rsid w:val="00CB083D"/>
    <w:rsid w:val="00CB6CDB"/>
    <w:rsid w:val="00CC2C49"/>
    <w:rsid w:val="00CC4018"/>
    <w:rsid w:val="00CD65E5"/>
    <w:rsid w:val="00CE4765"/>
    <w:rsid w:val="00CE6A0F"/>
    <w:rsid w:val="00CF1AA9"/>
    <w:rsid w:val="00CF518B"/>
    <w:rsid w:val="00CF58AC"/>
    <w:rsid w:val="00D07DB1"/>
    <w:rsid w:val="00D17CA0"/>
    <w:rsid w:val="00D226A0"/>
    <w:rsid w:val="00D233D6"/>
    <w:rsid w:val="00D23EC1"/>
    <w:rsid w:val="00D330C7"/>
    <w:rsid w:val="00D356F1"/>
    <w:rsid w:val="00D556F5"/>
    <w:rsid w:val="00D601AC"/>
    <w:rsid w:val="00D61625"/>
    <w:rsid w:val="00D65BE9"/>
    <w:rsid w:val="00D66A2F"/>
    <w:rsid w:val="00D673C0"/>
    <w:rsid w:val="00D80B15"/>
    <w:rsid w:val="00D8572B"/>
    <w:rsid w:val="00D9194C"/>
    <w:rsid w:val="00D92EC7"/>
    <w:rsid w:val="00D95D53"/>
    <w:rsid w:val="00DA0E0C"/>
    <w:rsid w:val="00DA3C14"/>
    <w:rsid w:val="00DB49DC"/>
    <w:rsid w:val="00DB755B"/>
    <w:rsid w:val="00DC77A1"/>
    <w:rsid w:val="00DD3730"/>
    <w:rsid w:val="00DD68BF"/>
    <w:rsid w:val="00DE1134"/>
    <w:rsid w:val="00DE406E"/>
    <w:rsid w:val="00DF6AC6"/>
    <w:rsid w:val="00DF7B9A"/>
    <w:rsid w:val="00E243D3"/>
    <w:rsid w:val="00E2774F"/>
    <w:rsid w:val="00E35010"/>
    <w:rsid w:val="00E354BE"/>
    <w:rsid w:val="00E53F81"/>
    <w:rsid w:val="00E56BD6"/>
    <w:rsid w:val="00E678AA"/>
    <w:rsid w:val="00E80A4E"/>
    <w:rsid w:val="00E82C73"/>
    <w:rsid w:val="00E8668B"/>
    <w:rsid w:val="00E87B19"/>
    <w:rsid w:val="00E931CA"/>
    <w:rsid w:val="00EA6001"/>
    <w:rsid w:val="00EB2837"/>
    <w:rsid w:val="00EB3530"/>
    <w:rsid w:val="00EC316C"/>
    <w:rsid w:val="00EC3FE0"/>
    <w:rsid w:val="00ED2358"/>
    <w:rsid w:val="00ED3F27"/>
    <w:rsid w:val="00EF197F"/>
    <w:rsid w:val="00EF337B"/>
    <w:rsid w:val="00EF3C28"/>
    <w:rsid w:val="00EF6E76"/>
    <w:rsid w:val="00F0081C"/>
    <w:rsid w:val="00F02711"/>
    <w:rsid w:val="00F149A7"/>
    <w:rsid w:val="00F32164"/>
    <w:rsid w:val="00F40315"/>
    <w:rsid w:val="00F46C29"/>
    <w:rsid w:val="00F47C29"/>
    <w:rsid w:val="00F526EA"/>
    <w:rsid w:val="00F57A84"/>
    <w:rsid w:val="00F60E01"/>
    <w:rsid w:val="00F653F5"/>
    <w:rsid w:val="00F716F8"/>
    <w:rsid w:val="00F73C39"/>
    <w:rsid w:val="00F73E20"/>
    <w:rsid w:val="00F7523F"/>
    <w:rsid w:val="00F75326"/>
    <w:rsid w:val="00F763DB"/>
    <w:rsid w:val="00F92AD8"/>
    <w:rsid w:val="00F9351C"/>
    <w:rsid w:val="00F94B9B"/>
    <w:rsid w:val="00FA637B"/>
    <w:rsid w:val="00FB18A0"/>
    <w:rsid w:val="00FB7E96"/>
    <w:rsid w:val="00FC3E54"/>
    <w:rsid w:val="00FD0C3E"/>
    <w:rsid w:val="00FF7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40"/>
    <w:pPr>
      <w:ind w:left="720"/>
      <w:contextualSpacing/>
    </w:pPr>
  </w:style>
  <w:style w:type="paragraph" w:styleId="Header">
    <w:name w:val="header"/>
    <w:basedOn w:val="Normal"/>
    <w:link w:val="HeaderChar"/>
    <w:uiPriority w:val="99"/>
    <w:semiHidden/>
    <w:unhideWhenUsed/>
    <w:rsid w:val="00463A7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463A70"/>
  </w:style>
  <w:style w:type="paragraph" w:styleId="Footer">
    <w:name w:val="footer"/>
    <w:basedOn w:val="Normal"/>
    <w:link w:val="FooterChar"/>
    <w:uiPriority w:val="99"/>
    <w:unhideWhenUsed/>
    <w:rsid w:val="00463A7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63A70"/>
  </w:style>
</w:styles>
</file>

<file path=word/webSettings.xml><?xml version="1.0" encoding="utf-8"?>
<w:webSettings xmlns:r="http://schemas.openxmlformats.org/officeDocument/2006/relationships" xmlns:w="http://schemas.openxmlformats.org/wordprocessingml/2006/main">
  <w:divs>
    <w:div w:id="981542779">
      <w:bodyDiv w:val="1"/>
      <w:marLeft w:val="0"/>
      <w:marRight w:val="0"/>
      <w:marTop w:val="0"/>
      <w:marBottom w:val="0"/>
      <w:divBdr>
        <w:top w:val="none" w:sz="0" w:space="0" w:color="auto"/>
        <w:left w:val="none" w:sz="0" w:space="0" w:color="auto"/>
        <w:bottom w:val="none" w:sz="0" w:space="0" w:color="auto"/>
        <w:right w:val="none" w:sz="0" w:space="0" w:color="auto"/>
      </w:divBdr>
    </w:div>
    <w:div w:id="11483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B4035-8912-415F-8756-8F9E1BDA56CC}"/>
</file>

<file path=customXml/itemProps2.xml><?xml version="1.0" encoding="utf-8"?>
<ds:datastoreItem xmlns:ds="http://schemas.openxmlformats.org/officeDocument/2006/customXml" ds:itemID="{48EA2389-89B6-470D-A014-27FB34788EA8}"/>
</file>

<file path=customXml/itemProps3.xml><?xml version="1.0" encoding="utf-8"?>
<ds:datastoreItem xmlns:ds="http://schemas.openxmlformats.org/officeDocument/2006/customXml" ds:itemID="{21D824D8-F912-4681-AE95-807B933A918C}"/>
</file>

<file path=customXml/itemProps4.xml><?xml version="1.0" encoding="utf-8"?>
<ds:datastoreItem xmlns:ds="http://schemas.openxmlformats.org/officeDocument/2006/customXml" ds:itemID="{997CB849-927A-4F0D-A27A-5B07CC1798C6}"/>
</file>

<file path=docProps/app.xml><?xml version="1.0" encoding="utf-8"?>
<Properties xmlns="http://schemas.openxmlformats.org/officeDocument/2006/extended-properties" xmlns:vt="http://schemas.openxmlformats.org/officeDocument/2006/docPropsVTypes">
  <Template>Normal</Template>
  <TotalTime>0</TotalTime>
  <Pages>8</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2018-11-27T07:44:00Z</cp:lastPrinted>
  <dcterms:created xsi:type="dcterms:W3CDTF">2018-12-03T02:32:00Z</dcterms:created>
  <dcterms:modified xsi:type="dcterms:W3CDTF">2018-12-03T02:32:00Z</dcterms:modified>
</cp:coreProperties>
</file>